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5B83" w14:textId="77777777" w:rsidR="00127E78" w:rsidRPr="0035551B" w:rsidRDefault="00127E78" w:rsidP="00127E78">
      <w:pPr>
        <w:jc w:val="center"/>
        <w:rPr>
          <w:rFonts w:ascii="Times New Roman" w:hAnsi="Times New Roman"/>
          <w:b/>
          <w:bCs/>
          <w:sz w:val="32"/>
          <w:szCs w:val="32"/>
        </w:rPr>
      </w:pPr>
      <w:r w:rsidRPr="0035551B">
        <w:rPr>
          <w:rFonts w:ascii="Times New Roman" w:hAnsi="Times New Roman"/>
          <w:b/>
          <w:bCs/>
          <w:sz w:val="32"/>
          <w:szCs w:val="32"/>
        </w:rPr>
        <w:t>Definitions</w:t>
      </w:r>
    </w:p>
    <w:p w14:paraId="177262A5" w14:textId="77777777" w:rsidR="00127E78" w:rsidRPr="0035551B" w:rsidRDefault="00127E78" w:rsidP="00127E78">
      <w:pPr>
        <w:rPr>
          <w:rFonts w:ascii="Times New Roman" w:hAnsi="Times New Roman"/>
        </w:rPr>
      </w:pPr>
      <w:r w:rsidRPr="0035551B">
        <w:rPr>
          <w:rFonts w:ascii="Times New Roman" w:hAnsi="Times New Roman"/>
          <w:b/>
          <w:bCs/>
        </w:rPr>
        <w:t>Eligible Seasonal Farmworker</w:t>
      </w:r>
      <w:r w:rsidRPr="0035551B">
        <w:rPr>
          <w:rFonts w:ascii="Times New Roman" w:hAnsi="Times New Roman"/>
        </w:rPr>
        <w:t>, as defined in WIOA Section 167(</w:t>
      </w:r>
      <w:proofErr w:type="spellStart"/>
      <w:r w:rsidRPr="0035551B">
        <w:rPr>
          <w:rFonts w:ascii="Times New Roman" w:hAnsi="Times New Roman"/>
        </w:rPr>
        <w:t>i</w:t>
      </w:r>
      <w:proofErr w:type="spellEnd"/>
      <w:r w:rsidRPr="0035551B">
        <w:rPr>
          <w:rFonts w:ascii="Times New Roman" w:hAnsi="Times New Roman"/>
        </w:rPr>
        <w:t xml:space="preserve">)(3)(A), means a low-income individual who: </w:t>
      </w:r>
      <w:proofErr w:type="spellStart"/>
      <w:r w:rsidRPr="0035551B">
        <w:rPr>
          <w:rFonts w:ascii="Times New Roman" w:hAnsi="Times New Roman"/>
        </w:rPr>
        <w:t>i</w:t>
      </w:r>
      <w:proofErr w:type="spellEnd"/>
      <w:r w:rsidRPr="0035551B">
        <w:rPr>
          <w:rFonts w:ascii="Times New Roman" w:hAnsi="Times New Roman"/>
        </w:rPr>
        <w:t>.) for 12 consecutive months out of the 24 months prior to application for the program involved, has been primarily employed in agricultural or fish farming labor that is characterized by chronic unemployment or underemployment, and ii.) faces multiple barriers to economic self-sufficiency. Dependents of an eligible seasonal farmworker may receive NFJP services.</w:t>
      </w:r>
    </w:p>
    <w:p w14:paraId="1A3F144F" w14:textId="77777777" w:rsidR="00127E78" w:rsidRPr="0035551B" w:rsidRDefault="00127E78" w:rsidP="00127E78">
      <w:pPr>
        <w:rPr>
          <w:rFonts w:ascii="Times New Roman" w:hAnsi="Times New Roman"/>
        </w:rPr>
      </w:pPr>
      <w:r w:rsidRPr="0035551B">
        <w:rPr>
          <w:rFonts w:ascii="Times New Roman" w:hAnsi="Times New Roman"/>
        </w:rPr>
        <w:t>The definition for eligible seasonal farmworker includes the following key terms:</w:t>
      </w:r>
    </w:p>
    <w:p w14:paraId="00FADACE" w14:textId="77777777" w:rsidR="00127E78" w:rsidRPr="0035551B" w:rsidRDefault="00127E78" w:rsidP="00127E78">
      <w:pPr>
        <w:pStyle w:val="ListParagraph"/>
        <w:numPr>
          <w:ilvl w:val="0"/>
          <w:numId w:val="1"/>
        </w:numPr>
        <w:spacing w:after="160" w:line="278" w:lineRule="auto"/>
      </w:pPr>
      <w:r w:rsidRPr="0035551B">
        <w:t>The term “seasonal farmworker” is specifically defined for purposes of the NFJP program. This definition is different from the definitions of temporary and seasonal farmworker that apply to other programs.</w:t>
      </w:r>
    </w:p>
    <w:p w14:paraId="32A8C03B" w14:textId="77777777" w:rsidR="00127E78" w:rsidRPr="0035551B" w:rsidRDefault="00127E78" w:rsidP="00127E78">
      <w:pPr>
        <w:rPr>
          <w:rFonts w:ascii="Times New Roman" w:hAnsi="Times New Roman"/>
        </w:rPr>
      </w:pPr>
      <w:r w:rsidRPr="0035551B">
        <w:rPr>
          <w:rFonts w:ascii="Times New Roman" w:hAnsi="Times New Roman"/>
        </w:rPr>
        <w:t>The NFJP definition of seasonal farmworker includes:</w:t>
      </w:r>
    </w:p>
    <w:p w14:paraId="0EE359C9" w14:textId="77777777" w:rsidR="00127E78" w:rsidRPr="0035551B" w:rsidRDefault="00127E78" w:rsidP="00127E78">
      <w:pPr>
        <w:pStyle w:val="ListParagraph"/>
        <w:numPr>
          <w:ilvl w:val="0"/>
          <w:numId w:val="2"/>
        </w:numPr>
        <w:spacing w:after="160" w:line="278" w:lineRule="auto"/>
      </w:pPr>
      <w:r w:rsidRPr="0035551B">
        <w:t>Individuals who are or were employed on a seasonal basis and move from one seasonal activity to another;</w:t>
      </w:r>
    </w:p>
    <w:p w14:paraId="42F84026" w14:textId="77777777" w:rsidR="00127E78" w:rsidRPr="0035551B" w:rsidRDefault="00127E78" w:rsidP="00127E78">
      <w:pPr>
        <w:pStyle w:val="ListParagraph"/>
        <w:numPr>
          <w:ilvl w:val="0"/>
          <w:numId w:val="2"/>
        </w:numPr>
        <w:spacing w:after="160" w:line="278" w:lineRule="auto"/>
      </w:pPr>
      <w:r w:rsidRPr="0035551B">
        <w:t>Individuals who are or were employed year-round with variable schedules or activities depending on the type of farming and the time of year, such as work on dairy farms or farms that raise livestock or poultry, etc.;</w:t>
      </w:r>
    </w:p>
    <w:p w14:paraId="48C1BA43" w14:textId="77777777" w:rsidR="00127E78" w:rsidRPr="0035551B" w:rsidRDefault="00127E78" w:rsidP="00127E78">
      <w:pPr>
        <w:pStyle w:val="ListParagraph"/>
        <w:numPr>
          <w:ilvl w:val="0"/>
          <w:numId w:val="2"/>
        </w:numPr>
        <w:spacing w:after="160" w:line="278" w:lineRule="auto"/>
      </w:pPr>
      <w:r w:rsidRPr="0035551B">
        <w:t>Individuals who are or were employed during peak or off season and either work in another type of employment during the year or have periods of unemployment; or</w:t>
      </w:r>
    </w:p>
    <w:p w14:paraId="4B13689E" w14:textId="77777777" w:rsidR="00127E78" w:rsidRPr="0035551B" w:rsidRDefault="00127E78" w:rsidP="00127E78">
      <w:pPr>
        <w:pStyle w:val="ListParagraph"/>
        <w:numPr>
          <w:ilvl w:val="0"/>
          <w:numId w:val="2"/>
        </w:numPr>
        <w:spacing w:after="160" w:line="278" w:lineRule="auto"/>
      </w:pPr>
      <w:r w:rsidRPr="0035551B">
        <w:t>Any other individual whose work history the grantee determines fits the definition.</w:t>
      </w:r>
    </w:p>
    <w:p w14:paraId="42A14BCA" w14:textId="77777777" w:rsidR="00127E78" w:rsidRPr="0035551B" w:rsidRDefault="00127E78" w:rsidP="00127E78">
      <w:pPr>
        <w:rPr>
          <w:rFonts w:ascii="Times New Roman" w:hAnsi="Times New Roman"/>
        </w:rPr>
      </w:pPr>
      <w:r w:rsidRPr="0035551B">
        <w:rPr>
          <w:rFonts w:ascii="Times New Roman" w:hAnsi="Times New Roman"/>
        </w:rPr>
        <w:t>The phrase “primarily employed in agricultural or fish farming labor” refers to an individual who during any 12 consecutive months out of the 24 months prior to application either:</w:t>
      </w:r>
    </w:p>
    <w:p w14:paraId="40E56EC8" w14:textId="77777777" w:rsidR="00127E78" w:rsidRPr="0035551B" w:rsidRDefault="00127E78" w:rsidP="00127E78">
      <w:pPr>
        <w:spacing w:after="120" w:line="240" w:lineRule="auto"/>
        <w:ind w:firstLine="720"/>
        <w:rPr>
          <w:rFonts w:ascii="Times New Roman" w:hAnsi="Times New Roman"/>
        </w:rPr>
      </w:pPr>
      <w:r w:rsidRPr="0035551B">
        <w:rPr>
          <w:rFonts w:ascii="Times New Roman" w:hAnsi="Times New Roman"/>
        </w:rPr>
        <w:t xml:space="preserve">1) spent at least half of their working hours employed </w:t>
      </w:r>
      <w:proofErr w:type="gramStart"/>
      <w:r w:rsidRPr="0035551B">
        <w:rPr>
          <w:rFonts w:ascii="Times New Roman" w:hAnsi="Times New Roman"/>
        </w:rPr>
        <w:t>in</w:t>
      </w:r>
      <w:proofErr w:type="gramEnd"/>
      <w:r w:rsidRPr="0035551B">
        <w:rPr>
          <w:rFonts w:ascii="Times New Roman" w:hAnsi="Times New Roman"/>
        </w:rPr>
        <w:t xml:space="preserve"> farmwork, OR</w:t>
      </w:r>
    </w:p>
    <w:p w14:paraId="3CD7C5CC" w14:textId="77777777" w:rsidR="00127E78" w:rsidRPr="0035551B" w:rsidRDefault="00127E78" w:rsidP="00127E78">
      <w:pPr>
        <w:spacing w:after="120" w:line="240" w:lineRule="auto"/>
        <w:ind w:firstLine="720"/>
        <w:rPr>
          <w:rFonts w:ascii="Times New Roman" w:hAnsi="Times New Roman"/>
        </w:rPr>
      </w:pPr>
      <w:r w:rsidRPr="0035551B">
        <w:rPr>
          <w:rFonts w:ascii="Times New Roman" w:hAnsi="Times New Roman"/>
        </w:rPr>
        <w:t>2) earned at least half of their total income from farmwork.</w:t>
      </w:r>
    </w:p>
    <w:p w14:paraId="3CCC0677" w14:textId="77777777" w:rsidR="00127E78" w:rsidRPr="0035551B" w:rsidRDefault="00127E78" w:rsidP="00127E78">
      <w:pPr>
        <w:rPr>
          <w:rFonts w:ascii="Times New Roman" w:hAnsi="Times New Roman"/>
          <w:i/>
          <w:iCs/>
        </w:rPr>
      </w:pPr>
      <w:r w:rsidRPr="0035551B">
        <w:rPr>
          <w:rFonts w:ascii="Times New Roman" w:hAnsi="Times New Roman"/>
          <w:i/>
          <w:iCs/>
        </w:rPr>
        <w:t>Demonstration of both 1 and 2 is not required.</w:t>
      </w:r>
    </w:p>
    <w:p w14:paraId="7A20D786" w14:textId="77777777" w:rsidR="00127E78" w:rsidRPr="0035551B" w:rsidRDefault="00127E78" w:rsidP="00127E78">
      <w:pPr>
        <w:spacing w:after="120" w:line="240" w:lineRule="auto"/>
        <w:rPr>
          <w:rFonts w:ascii="Times New Roman" w:hAnsi="Times New Roman"/>
        </w:rPr>
      </w:pPr>
      <w:r w:rsidRPr="0035551B">
        <w:rPr>
          <w:rFonts w:ascii="Times New Roman" w:hAnsi="Times New Roman"/>
        </w:rPr>
        <w:t xml:space="preserve">The term “employed” includes three groups of workers: </w:t>
      </w:r>
    </w:p>
    <w:p w14:paraId="58F916C8" w14:textId="77777777" w:rsidR="00127E78" w:rsidRPr="0035551B" w:rsidRDefault="00127E78" w:rsidP="00127E78">
      <w:pPr>
        <w:spacing w:after="120" w:line="240" w:lineRule="auto"/>
        <w:rPr>
          <w:rFonts w:ascii="Times New Roman" w:hAnsi="Times New Roman"/>
        </w:rPr>
      </w:pPr>
      <w:r w:rsidRPr="0035551B">
        <w:rPr>
          <w:rFonts w:ascii="Times New Roman" w:hAnsi="Times New Roman"/>
        </w:rPr>
        <w:t xml:space="preserve">(1) individuals who are self-employed farmworkers, </w:t>
      </w:r>
    </w:p>
    <w:p w14:paraId="66EBCE18" w14:textId="77777777" w:rsidR="00127E78" w:rsidRPr="0035551B" w:rsidRDefault="00127E78" w:rsidP="00127E78">
      <w:pPr>
        <w:spacing w:after="120" w:line="240" w:lineRule="auto"/>
        <w:rPr>
          <w:rFonts w:ascii="Times New Roman" w:hAnsi="Times New Roman"/>
        </w:rPr>
      </w:pPr>
      <w:r w:rsidRPr="0035551B">
        <w:rPr>
          <w:rFonts w:ascii="Times New Roman" w:hAnsi="Times New Roman"/>
        </w:rPr>
        <w:t xml:space="preserve">(2) individuals who work as unpaid farmworkers, and </w:t>
      </w:r>
    </w:p>
    <w:p w14:paraId="7F4E6DF2" w14:textId="77777777" w:rsidR="00127E78" w:rsidRPr="0035551B" w:rsidRDefault="00127E78" w:rsidP="00127E78">
      <w:pPr>
        <w:spacing w:after="120" w:line="240" w:lineRule="auto"/>
        <w:rPr>
          <w:rFonts w:ascii="Times New Roman" w:hAnsi="Times New Roman"/>
          <w:i/>
          <w:iCs/>
        </w:rPr>
      </w:pPr>
      <w:r w:rsidRPr="0035551B">
        <w:rPr>
          <w:rFonts w:ascii="Times New Roman" w:hAnsi="Times New Roman"/>
        </w:rPr>
        <w:t>(3) individuals who are hired farmworkers, including direct hires and workers employed by farm labor contractors.</w:t>
      </w:r>
    </w:p>
    <w:p w14:paraId="7EDCC715" w14:textId="77777777" w:rsidR="00127E78" w:rsidRPr="0035551B" w:rsidRDefault="00127E78" w:rsidP="00127E78">
      <w:pPr>
        <w:rPr>
          <w:rFonts w:ascii="Times New Roman" w:hAnsi="Times New Roman"/>
        </w:rPr>
      </w:pPr>
      <w:r w:rsidRPr="0035551B">
        <w:rPr>
          <w:rFonts w:ascii="Times New Roman" w:hAnsi="Times New Roman"/>
        </w:rPr>
        <w:t xml:space="preserve">The terms “chronic unemployment or underemployment” refer to the nature of the agriculture or fish farming labor force as a whole and not whether an individual applicant is chronically unemployed or underemployed. For purposes of determining eligibility, grantees do not need to demonstrate that an individual is either chronically unemployed or underemployed. Similarly, grantees are not required to separately document that an individual faces multiple barriers to economic self-sufficiency in determining eligibility, since farmworker status and low-income status are both barriers to employment as defined in </w:t>
      </w:r>
      <w:r w:rsidRPr="0035551B">
        <w:rPr>
          <w:rFonts w:ascii="Times New Roman" w:hAnsi="Times New Roman"/>
        </w:rPr>
        <w:lastRenderedPageBreak/>
        <w:t>WIOA Section 3(24) (and thus, individuals who meet the farmworker and low-income criteria have multiple barriers by definition).</w:t>
      </w:r>
    </w:p>
    <w:p w14:paraId="76CE7FAA" w14:textId="77777777" w:rsidR="00127E78" w:rsidRPr="0035551B" w:rsidRDefault="00127E78" w:rsidP="00127E78">
      <w:pPr>
        <w:rPr>
          <w:rFonts w:ascii="Times New Roman" w:hAnsi="Times New Roman"/>
        </w:rPr>
      </w:pPr>
      <w:r w:rsidRPr="0035551B">
        <w:rPr>
          <w:rFonts w:ascii="Times New Roman" w:hAnsi="Times New Roman"/>
          <w:b/>
          <w:bCs/>
        </w:rPr>
        <w:t>Eligible Migrant Farmworker</w:t>
      </w:r>
      <w:r w:rsidRPr="0035551B">
        <w:rPr>
          <w:rFonts w:ascii="Times New Roman" w:hAnsi="Times New Roman"/>
        </w:rPr>
        <w:t xml:space="preserve"> as defined in WIOA Section 167(</w:t>
      </w:r>
      <w:proofErr w:type="spellStart"/>
      <w:r w:rsidRPr="0035551B">
        <w:rPr>
          <w:rFonts w:ascii="Times New Roman" w:hAnsi="Times New Roman"/>
        </w:rPr>
        <w:t>i</w:t>
      </w:r>
      <w:proofErr w:type="spellEnd"/>
      <w:r w:rsidRPr="0035551B">
        <w:rPr>
          <w:rFonts w:ascii="Times New Roman" w:hAnsi="Times New Roman"/>
        </w:rPr>
        <w:t>)(2), means an eligible seasonal farmworker as defined in WIOA Section 167(</w:t>
      </w:r>
      <w:proofErr w:type="spellStart"/>
      <w:r w:rsidRPr="0035551B">
        <w:rPr>
          <w:rFonts w:ascii="Times New Roman" w:hAnsi="Times New Roman"/>
        </w:rPr>
        <w:t>i</w:t>
      </w:r>
      <w:proofErr w:type="spellEnd"/>
      <w:r w:rsidRPr="0035551B">
        <w:rPr>
          <w:rFonts w:ascii="Times New Roman" w:hAnsi="Times New Roman"/>
        </w:rPr>
        <w:t>)(3) whose agricultural labor requires travel to a job site such that the farmworker is unable to return to a permanent place of residence within the same day. Dependents of eligible migrant farmworkers may receive NFJP services.</w:t>
      </w:r>
    </w:p>
    <w:p w14:paraId="6B049384" w14:textId="77777777" w:rsidR="00127E78" w:rsidRPr="0035551B" w:rsidRDefault="00127E78" w:rsidP="00127E78">
      <w:pPr>
        <w:rPr>
          <w:rFonts w:ascii="Times New Roman" w:hAnsi="Times New Roman"/>
        </w:rPr>
      </w:pPr>
      <w:r w:rsidRPr="0035551B">
        <w:rPr>
          <w:rFonts w:ascii="Times New Roman" w:hAnsi="Times New Roman"/>
          <w:b/>
          <w:bCs/>
        </w:rPr>
        <w:t>Eligible MSFW Youth</w:t>
      </w:r>
      <w:r w:rsidRPr="0035551B">
        <w:rPr>
          <w:rFonts w:ascii="Times New Roman" w:hAnsi="Times New Roman"/>
        </w:rPr>
        <w:t xml:space="preserve"> as defined in 20 C.F.R. 685.110, means an eligible MSFW aged 14-24 who is individually eligible or is a dependent of an eligible MSFW. When an MSFW youth is individually eligible, this means their own income and farmwork status meets the low-income and farmwork requirements. When enrolling an individual aged 14-24 who is individually eligible as an MSFW youth, grantees are not required to determine if that individual is a dependent. When enrolling an individual aged 14-24 as a dependent, grantees are required to determine if an individual is a dependent.</w:t>
      </w:r>
    </w:p>
    <w:p w14:paraId="299C2B69" w14:textId="77777777" w:rsidR="00127E78" w:rsidRPr="0035551B" w:rsidRDefault="00127E78" w:rsidP="00127E78">
      <w:pPr>
        <w:rPr>
          <w:rFonts w:ascii="Times New Roman" w:hAnsi="Times New Roman"/>
        </w:rPr>
      </w:pPr>
      <w:r w:rsidRPr="0035551B">
        <w:rPr>
          <w:rFonts w:ascii="Times New Roman" w:hAnsi="Times New Roman"/>
          <w:b/>
          <w:bCs/>
        </w:rPr>
        <w:t>Dependent</w:t>
      </w:r>
      <w:r w:rsidRPr="0035551B">
        <w:rPr>
          <w:rFonts w:ascii="Times New Roman" w:hAnsi="Times New Roman"/>
        </w:rPr>
        <w:t>. The definition of an individual who qualifies as a dependent of an eligible MSFW for purposes of the NFJP program is at 20 CFR 685.110. A dependent is an individual who:</w:t>
      </w:r>
    </w:p>
    <w:p w14:paraId="673A29BE" w14:textId="77777777" w:rsidR="00127E78" w:rsidRPr="0035551B" w:rsidRDefault="00127E78" w:rsidP="00127E78">
      <w:pPr>
        <w:pStyle w:val="ListParagraph"/>
        <w:numPr>
          <w:ilvl w:val="0"/>
          <w:numId w:val="3"/>
        </w:numPr>
        <w:spacing w:after="160" w:line="278" w:lineRule="auto"/>
      </w:pPr>
      <w:r w:rsidRPr="0035551B">
        <w:t>Was claimed as a dependent on the eligible MSFW’s Federal income tax return for the previous year; or</w:t>
      </w:r>
    </w:p>
    <w:p w14:paraId="3D604C9E" w14:textId="77777777" w:rsidR="00127E78" w:rsidRPr="0035551B" w:rsidRDefault="00127E78" w:rsidP="00127E78">
      <w:pPr>
        <w:pStyle w:val="ListParagraph"/>
        <w:numPr>
          <w:ilvl w:val="0"/>
          <w:numId w:val="3"/>
        </w:numPr>
        <w:spacing w:after="160" w:line="278" w:lineRule="auto"/>
      </w:pPr>
      <w:r w:rsidRPr="0035551B">
        <w:t>Is the spouse of the eligible MSFW; or</w:t>
      </w:r>
    </w:p>
    <w:p w14:paraId="32682723" w14:textId="77777777" w:rsidR="00127E78" w:rsidRPr="0035551B" w:rsidRDefault="00127E78" w:rsidP="00127E78">
      <w:pPr>
        <w:pStyle w:val="ListParagraph"/>
        <w:numPr>
          <w:ilvl w:val="0"/>
          <w:numId w:val="3"/>
        </w:numPr>
        <w:spacing w:after="160" w:line="278" w:lineRule="auto"/>
      </w:pPr>
      <w:r w:rsidRPr="0035551B">
        <w:t xml:space="preserve">If not claimed as a dependent for Federal income tax purposes, </w:t>
      </w:r>
      <w:proofErr w:type="gramStart"/>
      <w:r w:rsidRPr="0035551B">
        <w:t>is</w:t>
      </w:r>
      <w:proofErr w:type="gramEnd"/>
      <w:r w:rsidRPr="0035551B">
        <w:t xml:space="preserve"> able to establish:</w:t>
      </w:r>
    </w:p>
    <w:p w14:paraId="60B2261B" w14:textId="77777777" w:rsidR="00127E78" w:rsidRPr="0035551B" w:rsidRDefault="00127E78" w:rsidP="00127E78">
      <w:pPr>
        <w:ind w:firstLine="360"/>
        <w:rPr>
          <w:rFonts w:ascii="Times New Roman" w:hAnsi="Times New Roman"/>
        </w:rPr>
      </w:pPr>
      <w:r w:rsidRPr="0035551B">
        <w:rPr>
          <w:rFonts w:ascii="Times New Roman" w:hAnsi="Times New Roman"/>
        </w:rPr>
        <w:t>(</w:t>
      </w:r>
      <w:proofErr w:type="spellStart"/>
      <w:r w:rsidRPr="0035551B">
        <w:rPr>
          <w:rFonts w:ascii="Times New Roman" w:hAnsi="Times New Roman"/>
        </w:rPr>
        <w:t>i</w:t>
      </w:r>
      <w:proofErr w:type="spellEnd"/>
      <w:r w:rsidRPr="0035551B">
        <w:rPr>
          <w:rFonts w:ascii="Times New Roman" w:hAnsi="Times New Roman"/>
        </w:rPr>
        <w:t>) A relationship as the eligible MSFW’s:</w:t>
      </w:r>
    </w:p>
    <w:p w14:paraId="2D6CC316"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(A) Child, grandchild, great grandchild, including legally adopted children;</w:t>
      </w:r>
    </w:p>
    <w:p w14:paraId="4084DE56"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(B) Stepchild;</w:t>
      </w:r>
    </w:p>
    <w:p w14:paraId="44525DB0"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(C) Brother, sister, half-brother, half-sister, stepbrother, or stepsister;</w:t>
      </w:r>
    </w:p>
    <w:p w14:paraId="26E0F79D"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(D) Parent, grandparent, or other direct ancestor but not foster parent;</w:t>
      </w:r>
    </w:p>
    <w:p w14:paraId="1F88113D"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(E) Foster child;</w:t>
      </w:r>
    </w:p>
    <w:p w14:paraId="420A0469"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(F) Stepfather or stepmother;</w:t>
      </w:r>
    </w:p>
    <w:p w14:paraId="15581347"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(G) Uncle or aunt;</w:t>
      </w:r>
    </w:p>
    <w:p w14:paraId="6EE84A2E"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(H) Niece or nephew;</w:t>
      </w:r>
    </w:p>
    <w:p w14:paraId="6072BA2C"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(I) Father-in-law, mother-in-law, son-in-law; or</w:t>
      </w:r>
    </w:p>
    <w:p w14:paraId="2C5D26BE" w14:textId="77777777" w:rsidR="00127E78" w:rsidRPr="0035551B" w:rsidRDefault="00127E78" w:rsidP="00127E78">
      <w:pPr>
        <w:spacing w:after="120" w:line="240" w:lineRule="auto"/>
        <w:ind w:left="720"/>
        <w:rPr>
          <w:rFonts w:ascii="Times New Roman" w:hAnsi="Times New Roman"/>
        </w:rPr>
      </w:pPr>
      <w:r w:rsidRPr="0035551B">
        <w:rPr>
          <w:rFonts w:ascii="Times New Roman" w:hAnsi="Times New Roman"/>
        </w:rPr>
        <w:t>(J) Daughter-in-law, brother-in-law, or sister-in-law; and</w:t>
      </w:r>
    </w:p>
    <w:p w14:paraId="0CA40B10" w14:textId="77777777" w:rsidR="00127E78" w:rsidRPr="0035551B" w:rsidRDefault="00127E78" w:rsidP="00127E78">
      <w:pPr>
        <w:rPr>
          <w:rFonts w:ascii="Times New Roman" w:hAnsi="Times New Roman"/>
        </w:rPr>
      </w:pPr>
      <w:r w:rsidRPr="0035551B">
        <w:rPr>
          <w:rFonts w:ascii="Times New Roman" w:hAnsi="Times New Roman"/>
        </w:rPr>
        <w:t>(ii) The receipt of over half of his/her total support from the eligible MSFW's family during the eligibility determination period.</w:t>
      </w:r>
    </w:p>
    <w:p w14:paraId="0C491598" w14:textId="77777777" w:rsidR="00127E78" w:rsidRPr="0035551B" w:rsidRDefault="00127E78" w:rsidP="00127E78">
      <w:pPr>
        <w:rPr>
          <w:rFonts w:ascii="Times New Roman" w:hAnsi="Times New Roman"/>
        </w:rPr>
      </w:pPr>
      <w:r w:rsidRPr="0035551B">
        <w:rPr>
          <w:rFonts w:ascii="Times New Roman" w:hAnsi="Times New Roman"/>
          <w:b/>
          <w:bCs/>
        </w:rPr>
        <w:t>Farmwork</w:t>
      </w:r>
      <w:r w:rsidRPr="0035551B">
        <w:rPr>
          <w:rFonts w:ascii="Times New Roman" w:hAnsi="Times New Roman"/>
        </w:rPr>
        <w:t xml:space="preserve"> means cultivation and tillage of the soil, dairying, production, cultivation, growing, and harvesting of any agricultural or horticultural commodities. Pursuant to 20 CFR 685.110 and 20 CFR 651.10, Farmwork includes:</w:t>
      </w:r>
    </w:p>
    <w:p w14:paraId="6ACE2535" w14:textId="77777777" w:rsidR="00127E78" w:rsidRPr="0035551B" w:rsidRDefault="00127E78" w:rsidP="00127E78">
      <w:pPr>
        <w:pStyle w:val="ListParagraph"/>
        <w:numPr>
          <w:ilvl w:val="0"/>
          <w:numId w:val="4"/>
        </w:numPr>
        <w:spacing w:after="160" w:line="278" w:lineRule="auto"/>
      </w:pPr>
      <w:r w:rsidRPr="0035551B">
        <w:t>The raising of livestock, bees, fur-bearing animals, or poultry;</w:t>
      </w:r>
    </w:p>
    <w:p w14:paraId="01765CEA" w14:textId="77777777" w:rsidR="00127E78" w:rsidRPr="0035551B" w:rsidRDefault="00127E78" w:rsidP="00127E78">
      <w:pPr>
        <w:pStyle w:val="ListParagraph"/>
        <w:numPr>
          <w:ilvl w:val="0"/>
          <w:numId w:val="4"/>
        </w:numPr>
        <w:spacing w:after="160" w:line="278" w:lineRule="auto"/>
      </w:pPr>
      <w:r w:rsidRPr="0035551B">
        <w:t xml:space="preserve">The farming </w:t>
      </w:r>
      <w:proofErr w:type="gramStart"/>
      <w:r w:rsidRPr="0035551B">
        <w:t>of fish;</w:t>
      </w:r>
      <w:proofErr w:type="gramEnd"/>
    </w:p>
    <w:p w14:paraId="34D73DD2" w14:textId="77777777" w:rsidR="00127E78" w:rsidRPr="0035551B" w:rsidRDefault="00127E78" w:rsidP="00127E78">
      <w:pPr>
        <w:pStyle w:val="ListParagraph"/>
        <w:numPr>
          <w:ilvl w:val="0"/>
          <w:numId w:val="4"/>
        </w:numPr>
        <w:spacing w:after="160" w:line="278" w:lineRule="auto"/>
      </w:pPr>
      <w:r w:rsidRPr="0035551B">
        <w:lastRenderedPageBreak/>
        <w:t>Any practices (including any forestry or lumbering operations) performed by a farmer, or on a farm, as an incident to or in conjunction with such farming operation, including preparation for market, delivery to storage or to market, or to carriers for transportation to market; or</w:t>
      </w:r>
    </w:p>
    <w:p w14:paraId="406B7FB3" w14:textId="77777777" w:rsidR="00127E78" w:rsidRPr="0035551B" w:rsidRDefault="00127E78" w:rsidP="00127E78">
      <w:pPr>
        <w:pStyle w:val="ListParagraph"/>
        <w:numPr>
          <w:ilvl w:val="0"/>
          <w:numId w:val="4"/>
        </w:numPr>
        <w:spacing w:after="160" w:line="278" w:lineRule="auto"/>
      </w:pPr>
      <w:r w:rsidRPr="0035551B">
        <w:t>The handling, planting, drying, packaging, packing processing, freezing, or grading prior to delivery for storage of any agricultural or horticultural commodity in its unmanufactured state.</w:t>
      </w:r>
    </w:p>
    <w:p w14:paraId="770ED645" w14:textId="329260A4" w:rsidR="00127E78" w:rsidRPr="0035551B" w:rsidRDefault="00127E78" w:rsidP="00127E78">
      <w:pPr>
        <w:rPr>
          <w:rFonts w:ascii="Times New Roman" w:hAnsi="Times New Roman"/>
        </w:rPr>
      </w:pPr>
      <w:r w:rsidRPr="0035551B">
        <w:rPr>
          <w:rFonts w:ascii="Times New Roman" w:hAnsi="Times New Roman"/>
          <w:b/>
          <w:bCs/>
        </w:rPr>
        <w:t xml:space="preserve">Low-Income Individual </w:t>
      </w:r>
      <w:r w:rsidRPr="0035551B">
        <w:rPr>
          <w:rFonts w:ascii="Times New Roman" w:hAnsi="Times New Roman"/>
        </w:rPr>
        <w:t>means an individual as defined in WIOA Section 3(36)(A), and incorporating the low-income provision of the NFJP appropriations language in Public Law 116-</w:t>
      </w:r>
      <w:r w:rsidR="00FC04A4" w:rsidRPr="0035551B">
        <w:rPr>
          <w:rFonts w:ascii="Times New Roman" w:hAnsi="Times New Roman"/>
        </w:rPr>
        <w:t>260, who</w:t>
      </w:r>
      <w:r w:rsidRPr="0035551B">
        <w:rPr>
          <w:rFonts w:ascii="Times New Roman" w:hAnsi="Times New Roman"/>
        </w:rPr>
        <w:t>:</w:t>
      </w:r>
    </w:p>
    <w:p w14:paraId="0F3F0E4E" w14:textId="77777777" w:rsidR="00127E78" w:rsidRPr="0035551B" w:rsidRDefault="00127E78" w:rsidP="00127E78">
      <w:pPr>
        <w:pStyle w:val="ListParagraph"/>
        <w:numPr>
          <w:ilvl w:val="0"/>
          <w:numId w:val="5"/>
        </w:numPr>
        <w:spacing w:after="120" w:line="240" w:lineRule="auto"/>
      </w:pPr>
      <w:r w:rsidRPr="0035551B">
        <w:t>Receives, or in the past 6 months has received, or is a member of a family that is receiving or in the past 6 months has received, assistance through the supplemental nutrition assistance program (SNAP) established under the Food and Nutrition Act of 2008 (7 U.S.C. 2011 et seq.); the block grants to states for temporary assistance for needy families (TANF) program under part A of title IV of the Social Security Act (42 U.S.C. 601 et seq.); or the supplemental security income (SSI) program established under title XVI of the Social Security Act (42 U.S.C. 1381 et seq.); or state or local income-based public assistance;</w:t>
      </w:r>
    </w:p>
    <w:p w14:paraId="011475EB" w14:textId="77777777" w:rsidR="00127E78" w:rsidRPr="0035551B" w:rsidRDefault="00127E78" w:rsidP="00127E78">
      <w:pPr>
        <w:spacing w:after="120" w:line="240" w:lineRule="auto"/>
        <w:ind w:firstLine="360"/>
        <w:rPr>
          <w:rFonts w:ascii="Times New Roman" w:hAnsi="Times New Roman"/>
        </w:rPr>
      </w:pPr>
      <w:r w:rsidRPr="0035551B">
        <w:rPr>
          <w:rFonts w:ascii="Times New Roman" w:hAnsi="Times New Roman"/>
        </w:rPr>
        <w:t>2. Is in a family with total family income² that does not exceed the higher of:</w:t>
      </w:r>
    </w:p>
    <w:p w14:paraId="08FC78F7" w14:textId="77777777" w:rsidR="00127E78" w:rsidRPr="0035551B" w:rsidRDefault="00127E78" w:rsidP="00127E78">
      <w:pPr>
        <w:pStyle w:val="ListParagraph"/>
        <w:numPr>
          <w:ilvl w:val="0"/>
          <w:numId w:val="6"/>
        </w:numPr>
        <w:spacing w:after="120" w:line="240" w:lineRule="auto"/>
      </w:pPr>
      <w:r w:rsidRPr="0035551B">
        <w:t>150 percent3 of the poverty line4 (Note: this provision of the low-income definition takes effect July 1, 2021, for determining eligibility of participants to receive services through NFJP grants awarded with Program Year 2021 funds. For determining eligibility of participants to receive services through Program Year 2020 funds or earlier, grantees must use 100 percent of the poverty line for this provision); or</w:t>
      </w:r>
    </w:p>
    <w:p w14:paraId="58B93EDF" w14:textId="77777777" w:rsidR="00127E78" w:rsidRPr="0035551B" w:rsidRDefault="00127E78" w:rsidP="00127E78">
      <w:pPr>
        <w:pStyle w:val="ListParagraph"/>
        <w:numPr>
          <w:ilvl w:val="0"/>
          <w:numId w:val="6"/>
        </w:numPr>
        <w:spacing w:after="120" w:line="240" w:lineRule="auto"/>
      </w:pPr>
      <w:r w:rsidRPr="0035551B">
        <w:t>70 percent of the Lower Living Standard Income Level (LLSIL);</w:t>
      </w:r>
    </w:p>
    <w:p w14:paraId="55ADDD9F" w14:textId="21CB14FB" w:rsidR="00127E78" w:rsidRPr="0035551B" w:rsidRDefault="00127E78" w:rsidP="00127E78">
      <w:pPr>
        <w:spacing w:after="120" w:line="240" w:lineRule="auto"/>
        <w:ind w:left="720" w:hanging="360"/>
        <w:rPr>
          <w:rFonts w:ascii="Times New Roman" w:hAnsi="Times New Roman"/>
        </w:rPr>
      </w:pPr>
      <w:r w:rsidRPr="0035551B">
        <w:rPr>
          <w:rFonts w:ascii="Times New Roman" w:hAnsi="Times New Roman"/>
        </w:rPr>
        <w:t>3.   Is a homeless individual (as defined in Section 41403(6) of the Violence Against Women Act of 1994 (42 U.S.C. 14043e–2(6)), or a homeless child or youth (as defined under Section 725(2) of the McKinney-Vento Homeless Assistance Act (42 U.S.C. 11434</w:t>
      </w:r>
      <w:r w:rsidR="00FC04A4" w:rsidRPr="0035551B">
        <w:rPr>
          <w:rFonts w:ascii="Times New Roman" w:hAnsi="Times New Roman"/>
        </w:rPr>
        <w:t>a (</w:t>
      </w:r>
      <w:r w:rsidRPr="0035551B">
        <w:rPr>
          <w:rFonts w:ascii="Times New Roman" w:hAnsi="Times New Roman"/>
        </w:rPr>
        <w:t>2));</w:t>
      </w:r>
    </w:p>
    <w:p w14:paraId="0A1BEE70" w14:textId="77777777" w:rsidR="00127E78" w:rsidRPr="0035551B" w:rsidRDefault="00127E78" w:rsidP="00127E78">
      <w:pPr>
        <w:pStyle w:val="ListParagraph"/>
        <w:numPr>
          <w:ilvl w:val="0"/>
          <w:numId w:val="3"/>
        </w:numPr>
        <w:spacing w:after="120" w:line="240" w:lineRule="auto"/>
      </w:pPr>
      <w:r w:rsidRPr="0035551B">
        <w:t>Receives or is eligible to receive a free or reduced-price lunch under the</w:t>
      </w:r>
    </w:p>
    <w:p w14:paraId="6C96F1B6" w14:textId="77777777" w:rsidR="00127E78" w:rsidRPr="0035551B" w:rsidRDefault="00127E78" w:rsidP="00127E78">
      <w:pPr>
        <w:spacing w:after="120" w:line="240" w:lineRule="auto"/>
        <w:ind w:firstLine="720"/>
        <w:rPr>
          <w:rFonts w:ascii="Times New Roman" w:hAnsi="Times New Roman"/>
        </w:rPr>
      </w:pPr>
      <w:r w:rsidRPr="0035551B">
        <w:rPr>
          <w:rFonts w:ascii="Times New Roman" w:hAnsi="Times New Roman"/>
        </w:rPr>
        <w:t>Richard B. Russell National School Lunch Act (42 U.S.C. 1751 et seq.);5</w:t>
      </w:r>
    </w:p>
    <w:p w14:paraId="75C3C7B4" w14:textId="77777777" w:rsidR="00127E78" w:rsidRPr="0035551B" w:rsidRDefault="00127E78" w:rsidP="00127E78">
      <w:pPr>
        <w:pStyle w:val="ListParagraph"/>
        <w:numPr>
          <w:ilvl w:val="0"/>
          <w:numId w:val="3"/>
        </w:numPr>
        <w:spacing w:after="120" w:line="240" w:lineRule="auto"/>
      </w:pPr>
      <w:r w:rsidRPr="0035551B">
        <w:t xml:space="preserve">Is a foster child on behalf of whom State or local government payments are made; </w:t>
      </w:r>
    </w:p>
    <w:p w14:paraId="72D13681" w14:textId="77777777" w:rsidR="00127E78" w:rsidRPr="0035551B" w:rsidRDefault="00127E78" w:rsidP="00127E78">
      <w:pPr>
        <w:spacing w:after="120" w:line="240" w:lineRule="auto"/>
        <w:ind w:left="360"/>
        <w:rPr>
          <w:rFonts w:ascii="Times New Roman" w:hAnsi="Times New Roman"/>
          <w:b/>
          <w:bCs/>
        </w:rPr>
      </w:pPr>
      <w:r w:rsidRPr="0035551B">
        <w:rPr>
          <w:rFonts w:ascii="Times New Roman" w:hAnsi="Times New Roman"/>
          <w:b/>
          <w:bCs/>
        </w:rPr>
        <w:t>or</w:t>
      </w:r>
    </w:p>
    <w:p w14:paraId="5F24E547" w14:textId="77777777" w:rsidR="00127E78" w:rsidRPr="0035551B" w:rsidRDefault="00127E78" w:rsidP="00127E78">
      <w:pPr>
        <w:pStyle w:val="ListParagraph"/>
        <w:numPr>
          <w:ilvl w:val="0"/>
          <w:numId w:val="3"/>
        </w:numPr>
        <w:spacing w:after="120" w:line="240" w:lineRule="auto"/>
      </w:pPr>
      <w:r w:rsidRPr="0035551B">
        <w:t>Is an individual with a disability whose own income meets the income requirement of clause (ii), but who is a member of a family whose income does not meet this requirement (WIOA Section 3(36)(A)).</w:t>
      </w:r>
    </w:p>
    <w:p w14:paraId="257CBCB8" w14:textId="77777777" w:rsidR="00127E78" w:rsidRPr="0035551B" w:rsidRDefault="00127E78" w:rsidP="00127E78">
      <w:pPr>
        <w:spacing w:after="120" w:line="240" w:lineRule="auto"/>
        <w:rPr>
          <w:rFonts w:ascii="Times New Roman" w:hAnsi="Times New Roman"/>
          <w:b/>
          <w:bCs/>
          <w:i/>
          <w:iCs/>
        </w:rPr>
      </w:pPr>
      <w:r w:rsidRPr="0035551B">
        <w:rPr>
          <w:rFonts w:ascii="Times New Roman" w:hAnsi="Times New Roman"/>
          <w:b/>
          <w:bCs/>
          <w:i/>
          <w:iCs/>
        </w:rPr>
        <w:t>Note: Only one of the six provisions above need to be met to be considered a low-income individual.</w:t>
      </w:r>
    </w:p>
    <w:p w14:paraId="3D60B636" w14:textId="77777777" w:rsidR="00127E78" w:rsidRPr="0035551B" w:rsidRDefault="00127E78" w:rsidP="00127E78">
      <w:pPr>
        <w:rPr>
          <w:rFonts w:ascii="Times New Roman" w:hAnsi="Times New Roman"/>
        </w:rPr>
      </w:pPr>
      <w:r w:rsidRPr="0035551B">
        <w:rPr>
          <w:rFonts w:ascii="Times New Roman" w:hAnsi="Times New Roman"/>
          <w:b/>
          <w:bCs/>
        </w:rPr>
        <w:t>Family Income</w:t>
      </w:r>
      <w:r w:rsidRPr="0035551B">
        <w:rPr>
          <w:rFonts w:ascii="Times New Roman" w:hAnsi="Times New Roman"/>
        </w:rPr>
        <w:t>. For the purposes of calculating family income to determine low-income status as defined under WIOA Section 3(36)(A) for an individual who resides with their family in a single residence, grantees must use “family” as defined in 20 CFR 675.300, which means two or more persons related by blood, marriage, or decree of a court, who are living in a single residence, and are included in one or more of the following categories:</w:t>
      </w:r>
    </w:p>
    <w:p w14:paraId="423B0784" w14:textId="77777777" w:rsidR="00127E78" w:rsidRPr="0035551B" w:rsidRDefault="00127E78" w:rsidP="00127E78">
      <w:pPr>
        <w:spacing w:after="120"/>
        <w:rPr>
          <w:rFonts w:ascii="Times New Roman" w:hAnsi="Times New Roman"/>
        </w:rPr>
      </w:pPr>
      <w:r w:rsidRPr="0035551B">
        <w:rPr>
          <w:rFonts w:ascii="Times New Roman" w:hAnsi="Times New Roman"/>
        </w:rPr>
        <w:t>(1) A married couple and dependent children;</w:t>
      </w:r>
    </w:p>
    <w:p w14:paraId="6D9C1AE2" w14:textId="77777777" w:rsidR="00127E78" w:rsidRPr="0035551B" w:rsidRDefault="00127E78" w:rsidP="00127E78">
      <w:pPr>
        <w:spacing w:after="120"/>
        <w:rPr>
          <w:rFonts w:ascii="Times New Roman" w:hAnsi="Times New Roman"/>
        </w:rPr>
      </w:pPr>
      <w:r w:rsidRPr="0035551B">
        <w:rPr>
          <w:rFonts w:ascii="Times New Roman" w:hAnsi="Times New Roman"/>
        </w:rPr>
        <w:t>(2) A parent or guardian and dependent children; or</w:t>
      </w:r>
    </w:p>
    <w:p w14:paraId="18C03854" w14:textId="77777777" w:rsidR="00127E78" w:rsidRPr="0035551B" w:rsidRDefault="00127E78" w:rsidP="00127E78">
      <w:pPr>
        <w:spacing w:after="120"/>
        <w:rPr>
          <w:rFonts w:ascii="Times New Roman" w:hAnsi="Times New Roman"/>
        </w:rPr>
      </w:pPr>
      <w:r w:rsidRPr="0035551B">
        <w:rPr>
          <w:rFonts w:ascii="Times New Roman" w:hAnsi="Times New Roman"/>
        </w:rPr>
        <w:lastRenderedPageBreak/>
        <w:t>(3) A married couple.</w:t>
      </w:r>
    </w:p>
    <w:p w14:paraId="213DBB78" w14:textId="77777777" w:rsidR="00127E78" w:rsidRPr="0035551B" w:rsidRDefault="00127E78" w:rsidP="00127E78">
      <w:pPr>
        <w:rPr>
          <w:rFonts w:ascii="Times New Roman" w:hAnsi="Times New Roman"/>
        </w:rPr>
      </w:pPr>
      <w:r w:rsidRPr="0035551B">
        <w:rPr>
          <w:rFonts w:ascii="Times New Roman" w:hAnsi="Times New Roman"/>
          <w:b/>
          <w:bCs/>
        </w:rPr>
        <w:t>Reportable Individual</w:t>
      </w:r>
      <w:r w:rsidRPr="0035551B">
        <w:rPr>
          <w:rFonts w:ascii="Times New Roman" w:hAnsi="Times New Roman"/>
        </w:rPr>
        <w:t xml:space="preserve"> means an individual who receives only related assistance services, including emergency assistance, that 1) do not require significant involvement of FCDP staff time; and 2) do not require an assessment by FCDP staff of an individual’s skills, education, career objectives, or housing needs. Such individuals are not included in performance calculations as program participants.</w:t>
      </w:r>
    </w:p>
    <w:p w14:paraId="3382C11F" w14:textId="06F0B8A1" w:rsidR="00C83AC8" w:rsidRDefault="00C83AC8" w:rsidP="005E63B0"/>
    <w:sectPr w:rsidR="00C83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D2E"/>
    <w:multiLevelType w:val="hybridMultilevel"/>
    <w:tmpl w:val="4704F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300A4"/>
    <w:multiLevelType w:val="hybridMultilevel"/>
    <w:tmpl w:val="89FC0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90805"/>
    <w:multiLevelType w:val="hybridMultilevel"/>
    <w:tmpl w:val="903E0D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AD0B18"/>
    <w:multiLevelType w:val="hybridMultilevel"/>
    <w:tmpl w:val="78D86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3A6CFE"/>
    <w:multiLevelType w:val="hybridMultilevel"/>
    <w:tmpl w:val="38D6E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74063"/>
    <w:multiLevelType w:val="hybridMultilevel"/>
    <w:tmpl w:val="C5EC9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294188">
    <w:abstractNumId w:val="0"/>
  </w:num>
  <w:num w:numId="2" w16cid:durableId="287854658">
    <w:abstractNumId w:val="5"/>
  </w:num>
  <w:num w:numId="3" w16cid:durableId="1124419890">
    <w:abstractNumId w:val="1"/>
  </w:num>
  <w:num w:numId="4" w16cid:durableId="1353531667">
    <w:abstractNumId w:val="4"/>
  </w:num>
  <w:num w:numId="5" w16cid:durableId="833255138">
    <w:abstractNumId w:val="3"/>
  </w:num>
  <w:num w:numId="6" w16cid:durableId="234896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B0"/>
    <w:rsid w:val="00127E78"/>
    <w:rsid w:val="00195FA7"/>
    <w:rsid w:val="005E63B0"/>
    <w:rsid w:val="0067748C"/>
    <w:rsid w:val="007B7224"/>
    <w:rsid w:val="00943D92"/>
    <w:rsid w:val="00C83AC8"/>
    <w:rsid w:val="00FC0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987E3"/>
  <w15:chartTrackingRefBased/>
  <w15:docId w15:val="{B8DB7FEF-14C8-48D4-BB4F-162E67B9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78"/>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E6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3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3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3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3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3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3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3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3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3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3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3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3B0"/>
    <w:rPr>
      <w:rFonts w:eastAsiaTheme="majorEastAsia" w:cstheme="majorBidi"/>
      <w:color w:val="272727" w:themeColor="text1" w:themeTint="D8"/>
    </w:rPr>
  </w:style>
  <w:style w:type="paragraph" w:styleId="Title">
    <w:name w:val="Title"/>
    <w:basedOn w:val="Normal"/>
    <w:next w:val="Normal"/>
    <w:link w:val="TitleChar"/>
    <w:uiPriority w:val="10"/>
    <w:qFormat/>
    <w:rsid w:val="005E6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3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3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3B0"/>
    <w:pPr>
      <w:spacing w:before="160"/>
      <w:jc w:val="center"/>
    </w:pPr>
    <w:rPr>
      <w:i/>
      <w:iCs/>
      <w:color w:val="404040" w:themeColor="text1" w:themeTint="BF"/>
    </w:rPr>
  </w:style>
  <w:style w:type="character" w:customStyle="1" w:styleId="QuoteChar">
    <w:name w:val="Quote Char"/>
    <w:basedOn w:val="DefaultParagraphFont"/>
    <w:link w:val="Quote"/>
    <w:uiPriority w:val="29"/>
    <w:rsid w:val="005E63B0"/>
    <w:rPr>
      <w:i/>
      <w:iCs/>
      <w:color w:val="404040" w:themeColor="text1" w:themeTint="BF"/>
    </w:rPr>
  </w:style>
  <w:style w:type="paragraph" w:styleId="ListParagraph">
    <w:name w:val="List Paragraph"/>
    <w:basedOn w:val="Normal"/>
    <w:link w:val="ListParagraphChar"/>
    <w:uiPriority w:val="34"/>
    <w:qFormat/>
    <w:rsid w:val="005E63B0"/>
    <w:pPr>
      <w:ind w:left="720"/>
      <w:contextualSpacing/>
    </w:pPr>
  </w:style>
  <w:style w:type="character" w:styleId="IntenseEmphasis">
    <w:name w:val="Intense Emphasis"/>
    <w:basedOn w:val="DefaultParagraphFont"/>
    <w:uiPriority w:val="21"/>
    <w:qFormat/>
    <w:rsid w:val="005E63B0"/>
    <w:rPr>
      <w:i/>
      <w:iCs/>
      <w:color w:val="0F4761" w:themeColor="accent1" w:themeShade="BF"/>
    </w:rPr>
  </w:style>
  <w:style w:type="paragraph" w:styleId="IntenseQuote">
    <w:name w:val="Intense Quote"/>
    <w:basedOn w:val="Normal"/>
    <w:next w:val="Normal"/>
    <w:link w:val="IntenseQuoteChar"/>
    <w:uiPriority w:val="30"/>
    <w:qFormat/>
    <w:rsid w:val="005E6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3B0"/>
    <w:rPr>
      <w:i/>
      <w:iCs/>
      <w:color w:val="0F4761" w:themeColor="accent1" w:themeShade="BF"/>
    </w:rPr>
  </w:style>
  <w:style w:type="character" w:styleId="IntenseReference">
    <w:name w:val="Intense Reference"/>
    <w:basedOn w:val="DefaultParagraphFont"/>
    <w:uiPriority w:val="32"/>
    <w:qFormat/>
    <w:rsid w:val="005E63B0"/>
    <w:rPr>
      <w:b/>
      <w:bCs/>
      <w:smallCaps/>
      <w:color w:val="0F4761" w:themeColor="accent1" w:themeShade="BF"/>
      <w:spacing w:val="5"/>
    </w:rPr>
  </w:style>
  <w:style w:type="character" w:customStyle="1" w:styleId="ListParagraphChar">
    <w:name w:val="List Paragraph Char"/>
    <w:link w:val="ListParagraph"/>
    <w:uiPriority w:val="34"/>
    <w:locked/>
    <w:rsid w:val="0012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1277</Words>
  <Characters>7360</Characters>
  <Application>Microsoft Office Word</Application>
  <DocSecurity>0</DocSecurity>
  <Lines>216</Lines>
  <Paragraphs>99</Paragraphs>
  <ScaleCrop>false</ScaleCrop>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Caban-Tellez, Shirley</dc:creator>
  <cp:keywords/>
  <dc:description/>
  <cp:lastModifiedBy>Caban-Tellez, Shirley</cp:lastModifiedBy>
  <cp:revision>5</cp:revision>
  <dcterms:created xsi:type="dcterms:W3CDTF">2026-01-08T20:21:00Z</dcterms:created>
  <dcterms:modified xsi:type="dcterms:W3CDTF">2026-01-08T20:27:00Z</dcterms:modified>
</cp:coreProperties>
</file>