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8B15D3" w14:textId="77777777" w:rsidR="009E5247" w:rsidRPr="008935A6" w:rsidRDefault="009E5247" w:rsidP="00001C5C">
      <w:pPr>
        <w:spacing w:after="0" w:line="240" w:lineRule="auto"/>
        <w:jc w:val="both"/>
        <w:rPr>
          <w:rFonts w:cstheme="minorHAnsi"/>
          <w:b/>
          <w:sz w:val="24"/>
          <w:szCs w:val="24"/>
        </w:rPr>
      </w:pPr>
    </w:p>
    <w:p w14:paraId="15792C6D" w14:textId="77777777" w:rsidR="00456F7E" w:rsidRPr="008935A6" w:rsidRDefault="007C187A" w:rsidP="00001C5C">
      <w:pPr>
        <w:spacing w:after="0" w:line="240" w:lineRule="auto"/>
        <w:jc w:val="both"/>
        <w:rPr>
          <w:rFonts w:cstheme="minorHAnsi"/>
          <w:b/>
          <w:sz w:val="24"/>
          <w:szCs w:val="24"/>
        </w:rPr>
      </w:pPr>
      <w:r w:rsidRPr="008935A6">
        <w:rPr>
          <w:rFonts w:cstheme="minorHAnsi"/>
          <w:b/>
          <w:sz w:val="24"/>
          <w:szCs w:val="24"/>
        </w:rPr>
        <w:t>Background</w:t>
      </w:r>
    </w:p>
    <w:p w14:paraId="77101130" w14:textId="1B7752E9" w:rsidR="00011608" w:rsidRDefault="00B5768A" w:rsidP="00421C12">
      <w:pPr>
        <w:spacing w:after="0" w:line="240" w:lineRule="auto"/>
        <w:jc w:val="both"/>
        <w:rPr>
          <w:rFonts w:cstheme="minorHAnsi"/>
        </w:rPr>
      </w:pPr>
      <w:r w:rsidRPr="00723ABB">
        <w:rPr>
          <w:rFonts w:cstheme="minorHAnsi"/>
          <w:shd w:val="clear" w:color="auto" w:fill="FFFFFF"/>
        </w:rPr>
        <w:t xml:space="preserve">College affordability remains a top priority for all 28 Florida College </w:t>
      </w:r>
      <w:r w:rsidR="00421C12">
        <w:rPr>
          <w:rFonts w:cstheme="minorHAnsi"/>
          <w:shd w:val="clear" w:color="auto" w:fill="FFFFFF"/>
        </w:rPr>
        <w:t>System (FCS) institutions. U</w:t>
      </w:r>
      <w:r w:rsidRPr="00723ABB">
        <w:rPr>
          <w:rFonts w:cstheme="minorHAnsi"/>
          <w:shd w:val="clear" w:color="auto" w:fill="FFFFFF"/>
        </w:rPr>
        <w:t xml:space="preserve">nder the umbrella of </w:t>
      </w:r>
      <w:r w:rsidR="00ED4499" w:rsidRPr="00723ABB">
        <w:rPr>
          <w:rFonts w:cstheme="minorHAnsi"/>
          <w:shd w:val="clear" w:color="auto" w:fill="FFFFFF"/>
        </w:rPr>
        <w:t>college affordability falls textbook and instructional materials affordability</w:t>
      </w:r>
      <w:r w:rsidRPr="00723ABB">
        <w:rPr>
          <w:rFonts w:cstheme="minorHAnsi"/>
          <w:shd w:val="clear" w:color="auto" w:fill="FFFFFF"/>
        </w:rPr>
        <w:t>.</w:t>
      </w:r>
      <w:r w:rsidR="00421C12">
        <w:rPr>
          <w:rFonts w:cstheme="minorHAnsi"/>
        </w:rPr>
        <w:t xml:space="preserve"> </w:t>
      </w:r>
      <w:hyperlink r:id="rId8" w:history="1">
        <w:r w:rsidR="00053214" w:rsidRPr="00D56E28">
          <w:rPr>
            <w:rStyle w:val="Hyperlink"/>
            <w:rFonts w:cstheme="minorHAnsi"/>
          </w:rPr>
          <w:t>Section</w:t>
        </w:r>
        <w:r w:rsidR="00557B96" w:rsidRPr="00D56E28">
          <w:rPr>
            <w:rStyle w:val="Hyperlink"/>
            <w:rFonts w:cstheme="minorHAnsi"/>
          </w:rPr>
          <w:t xml:space="preserve"> (s.)</w:t>
        </w:r>
        <w:r w:rsidR="00053214" w:rsidRPr="00D56E28">
          <w:rPr>
            <w:rStyle w:val="Hyperlink"/>
            <w:rFonts w:cstheme="minorHAnsi"/>
          </w:rPr>
          <w:t xml:space="preserve"> 1004.085</w:t>
        </w:r>
      </w:hyperlink>
      <w:r w:rsidR="00053214" w:rsidRPr="00723ABB">
        <w:rPr>
          <w:rFonts w:cstheme="minorHAnsi"/>
        </w:rPr>
        <w:t>, Florida Statutes (F.S.), establishes requirements regarding the textbook and instructional materials adoption process at public colleges and universities in Florida. An update to the law went into effect July 1, 2016, requiring colleges to expand efforts to reduce the cost of textbooks and instructional materials.</w:t>
      </w:r>
      <w:r w:rsidR="00E22AF8" w:rsidRPr="00723ABB">
        <w:rPr>
          <w:rFonts w:cstheme="minorHAnsi"/>
        </w:rPr>
        <w:t xml:space="preserve"> </w:t>
      </w:r>
    </w:p>
    <w:p w14:paraId="76CEF80D" w14:textId="77777777" w:rsidR="00011608" w:rsidRDefault="00011608" w:rsidP="00421C12">
      <w:pPr>
        <w:spacing w:after="0" w:line="240" w:lineRule="auto"/>
        <w:jc w:val="both"/>
        <w:rPr>
          <w:rFonts w:cstheme="minorHAnsi"/>
        </w:rPr>
      </w:pPr>
    </w:p>
    <w:p w14:paraId="430BCCAB" w14:textId="4A369B16" w:rsidR="005E7041" w:rsidRDefault="005E7041" w:rsidP="00421C12">
      <w:pPr>
        <w:spacing w:after="0" w:line="240" w:lineRule="auto"/>
        <w:jc w:val="both"/>
        <w:rPr>
          <w:rFonts w:cstheme="minorHAnsi"/>
        </w:rPr>
      </w:pPr>
      <w:r w:rsidRPr="005E7041">
        <w:rPr>
          <w:rFonts w:cstheme="minorHAnsi"/>
        </w:rPr>
        <w:t>The Auditor General (AG) conducts operational audits on Florida colleges and</w:t>
      </w:r>
      <w:r>
        <w:rPr>
          <w:rFonts w:cstheme="minorHAnsi"/>
        </w:rPr>
        <w:t xml:space="preserve"> </w:t>
      </w:r>
      <w:r w:rsidRPr="005E7041">
        <w:rPr>
          <w:rFonts w:cstheme="minorHAnsi"/>
        </w:rPr>
        <w:t>universities</w:t>
      </w:r>
      <w:r>
        <w:rPr>
          <w:rFonts w:cstheme="minorHAnsi"/>
        </w:rPr>
        <w:t>,</w:t>
      </w:r>
      <w:r w:rsidRPr="005E7041">
        <w:rPr>
          <w:rFonts w:cstheme="minorHAnsi"/>
        </w:rPr>
        <w:t xml:space="preserve"> which include</w:t>
      </w:r>
      <w:r>
        <w:rPr>
          <w:rFonts w:cstheme="minorHAnsi"/>
        </w:rPr>
        <w:t>s</w:t>
      </w:r>
      <w:r w:rsidR="00FE53ED">
        <w:rPr>
          <w:rFonts w:cstheme="minorHAnsi"/>
        </w:rPr>
        <w:t xml:space="preserve"> a</w:t>
      </w:r>
      <w:r w:rsidRPr="005E7041">
        <w:rPr>
          <w:rFonts w:cstheme="minorHAnsi"/>
        </w:rPr>
        <w:t xml:space="preserve"> review </w:t>
      </w:r>
      <w:r>
        <w:rPr>
          <w:rFonts w:cstheme="minorHAnsi"/>
        </w:rPr>
        <w:t>of compliance with</w:t>
      </w:r>
      <w:r w:rsidRPr="005E7041">
        <w:rPr>
          <w:rFonts w:cstheme="minorHAnsi"/>
        </w:rPr>
        <w:t xml:space="preserve"> textbook and instructional materials affordability</w:t>
      </w:r>
      <w:r w:rsidR="00FE53ED">
        <w:rPr>
          <w:rFonts w:cstheme="minorHAnsi"/>
        </w:rPr>
        <w:t xml:space="preserve"> requirements</w:t>
      </w:r>
      <w:r w:rsidRPr="005E7041">
        <w:rPr>
          <w:rFonts w:cstheme="minorHAnsi"/>
        </w:rPr>
        <w:t>.</w:t>
      </w:r>
      <w:r>
        <w:rPr>
          <w:rFonts w:cstheme="minorHAnsi"/>
        </w:rPr>
        <w:t xml:space="preserve"> For 2017-2019, textbook affordability-related operational audit findings from the Auditor General (AG) included:</w:t>
      </w:r>
    </w:p>
    <w:p w14:paraId="480835FF" w14:textId="77777777" w:rsidR="005E7041" w:rsidRDefault="005E7041" w:rsidP="00421C12">
      <w:pPr>
        <w:spacing w:after="0" w:line="240" w:lineRule="auto"/>
        <w:jc w:val="both"/>
        <w:rPr>
          <w:rFonts w:cstheme="minorHAnsi"/>
        </w:rPr>
      </w:pPr>
    </w:p>
    <w:p w14:paraId="24E7E406" w14:textId="77777777" w:rsidR="00011608" w:rsidRPr="008935A6" w:rsidRDefault="00011608" w:rsidP="00011608">
      <w:pPr>
        <w:pStyle w:val="Default"/>
        <w:numPr>
          <w:ilvl w:val="0"/>
          <w:numId w:val="18"/>
        </w:numPr>
        <w:jc w:val="both"/>
        <w:rPr>
          <w:rFonts w:asciiTheme="minorHAnsi" w:hAnsiTheme="minorHAnsi" w:cstheme="minorHAnsi"/>
          <w:color w:val="auto"/>
          <w:sz w:val="22"/>
          <w:szCs w:val="22"/>
        </w:rPr>
      </w:pPr>
      <w:r w:rsidRPr="008935A6">
        <w:rPr>
          <w:rFonts w:asciiTheme="minorHAnsi" w:hAnsiTheme="minorHAnsi" w:cstheme="minorHAnsi"/>
          <w:color w:val="auto"/>
          <w:sz w:val="22"/>
          <w:szCs w:val="22"/>
        </w:rPr>
        <w:t>Not having established monitoring procedures or having procedures lacking elements required by statute.</w:t>
      </w:r>
    </w:p>
    <w:p w14:paraId="6F23810F" w14:textId="77777777" w:rsidR="00011608" w:rsidRPr="008935A6" w:rsidRDefault="00011608" w:rsidP="00011608">
      <w:pPr>
        <w:pStyle w:val="Default"/>
        <w:numPr>
          <w:ilvl w:val="0"/>
          <w:numId w:val="18"/>
        </w:numPr>
        <w:jc w:val="both"/>
        <w:rPr>
          <w:rFonts w:asciiTheme="minorHAnsi" w:hAnsiTheme="minorHAnsi" w:cstheme="minorHAnsi"/>
          <w:color w:val="auto"/>
          <w:sz w:val="22"/>
          <w:szCs w:val="22"/>
        </w:rPr>
      </w:pPr>
      <w:r w:rsidRPr="008935A6">
        <w:rPr>
          <w:rFonts w:asciiTheme="minorHAnsi" w:hAnsiTheme="minorHAnsi" w:cstheme="minorHAnsi"/>
          <w:color w:val="auto"/>
          <w:sz w:val="22"/>
          <w:szCs w:val="22"/>
        </w:rPr>
        <w:t>Not maintaining documentation supporting the figures reported in the annual report to DFC.</w:t>
      </w:r>
    </w:p>
    <w:p w14:paraId="401B1635" w14:textId="2BE872BC" w:rsidR="00011608" w:rsidRPr="008935A6" w:rsidRDefault="00011608" w:rsidP="00011608">
      <w:pPr>
        <w:pStyle w:val="Default"/>
        <w:numPr>
          <w:ilvl w:val="0"/>
          <w:numId w:val="18"/>
        </w:numPr>
        <w:jc w:val="both"/>
        <w:rPr>
          <w:rFonts w:asciiTheme="minorHAnsi" w:hAnsiTheme="minorHAnsi" w:cstheme="minorHAnsi"/>
          <w:color w:val="auto"/>
          <w:sz w:val="22"/>
          <w:szCs w:val="22"/>
        </w:rPr>
      </w:pPr>
      <w:r w:rsidRPr="008935A6">
        <w:rPr>
          <w:rFonts w:asciiTheme="minorHAnsi" w:hAnsiTheme="minorHAnsi" w:cstheme="minorHAnsi"/>
          <w:color w:val="auto"/>
          <w:sz w:val="22"/>
          <w:szCs w:val="22"/>
        </w:rPr>
        <w:t>Lack of evidence supporting timely posting of required instructional materials and untimely posting of required instructional materials</w:t>
      </w:r>
      <w:r w:rsidR="00FE53ED">
        <w:rPr>
          <w:rFonts w:asciiTheme="minorHAnsi" w:hAnsiTheme="minorHAnsi" w:cstheme="minorHAnsi"/>
          <w:color w:val="auto"/>
          <w:sz w:val="22"/>
          <w:szCs w:val="22"/>
        </w:rPr>
        <w:t>.</w:t>
      </w:r>
      <w:r>
        <w:rPr>
          <w:rFonts w:asciiTheme="minorHAnsi" w:hAnsiTheme="minorHAnsi" w:cstheme="minorHAnsi"/>
          <w:color w:val="auto"/>
          <w:sz w:val="22"/>
          <w:szCs w:val="22"/>
        </w:rPr>
        <w:t xml:space="preserve"> </w:t>
      </w:r>
    </w:p>
    <w:p w14:paraId="6A2FCF89" w14:textId="77777777" w:rsidR="00011608" w:rsidRPr="008935A6" w:rsidRDefault="00011608" w:rsidP="00011608">
      <w:pPr>
        <w:pStyle w:val="Default"/>
        <w:numPr>
          <w:ilvl w:val="0"/>
          <w:numId w:val="18"/>
        </w:numPr>
        <w:jc w:val="both"/>
        <w:rPr>
          <w:rFonts w:asciiTheme="minorHAnsi" w:hAnsiTheme="minorHAnsi" w:cstheme="minorHAnsi"/>
          <w:color w:val="auto"/>
          <w:sz w:val="22"/>
          <w:szCs w:val="22"/>
        </w:rPr>
      </w:pPr>
      <w:r w:rsidRPr="008935A6">
        <w:rPr>
          <w:rFonts w:asciiTheme="minorHAnsi" w:hAnsiTheme="minorHAnsi" w:cstheme="minorHAnsi"/>
          <w:color w:val="auto"/>
          <w:sz w:val="22"/>
          <w:szCs w:val="22"/>
        </w:rPr>
        <w:t>Not identifying courses with a wide variance in textbook prices amongst different sections of the same course.</w:t>
      </w:r>
    </w:p>
    <w:p w14:paraId="7D0EFC76" w14:textId="77777777" w:rsidR="00011608" w:rsidRDefault="00011608" w:rsidP="00421C12">
      <w:pPr>
        <w:spacing w:after="0" w:line="240" w:lineRule="auto"/>
        <w:jc w:val="both"/>
        <w:rPr>
          <w:rFonts w:cstheme="minorHAnsi"/>
        </w:rPr>
      </w:pPr>
    </w:p>
    <w:p w14:paraId="20A3B68B" w14:textId="1C5D0860" w:rsidR="00B5768A" w:rsidRPr="008935A6" w:rsidRDefault="00B5768A" w:rsidP="00557B96">
      <w:pPr>
        <w:spacing w:after="0" w:line="240" w:lineRule="auto"/>
        <w:jc w:val="both"/>
        <w:rPr>
          <w:rFonts w:cstheme="minorHAnsi"/>
        </w:rPr>
      </w:pPr>
      <w:r w:rsidRPr="00723ABB">
        <w:rPr>
          <w:rFonts w:cstheme="minorHAnsi"/>
        </w:rPr>
        <w:t xml:space="preserve">As a result of </w:t>
      </w:r>
      <w:r w:rsidR="00011608">
        <w:rPr>
          <w:rFonts w:cstheme="minorHAnsi"/>
        </w:rPr>
        <w:t>AG</w:t>
      </w:r>
      <w:r w:rsidRPr="00723ABB">
        <w:rPr>
          <w:rFonts w:cstheme="minorHAnsi"/>
        </w:rPr>
        <w:t xml:space="preserve"> audit findings</w:t>
      </w:r>
      <w:r w:rsidR="005E7041">
        <w:rPr>
          <w:rFonts w:cstheme="minorHAnsi"/>
        </w:rPr>
        <w:t xml:space="preserve"> across multiple FCS institutions</w:t>
      </w:r>
      <w:r w:rsidRPr="00723ABB">
        <w:rPr>
          <w:rFonts w:cstheme="minorHAnsi"/>
        </w:rPr>
        <w:t xml:space="preserve">, </w:t>
      </w:r>
      <w:r w:rsidR="00ED4499">
        <w:rPr>
          <w:rFonts w:cstheme="minorHAnsi"/>
        </w:rPr>
        <w:t>t</w:t>
      </w:r>
      <w:r w:rsidRPr="00723ABB">
        <w:rPr>
          <w:rFonts w:cstheme="minorHAnsi"/>
        </w:rPr>
        <w:t xml:space="preserve">he Division of Florida Colleges (DFC) requested a </w:t>
      </w:r>
      <w:hyperlink r:id="rId9" w:history="1">
        <w:r w:rsidRPr="00557B96">
          <w:rPr>
            <w:rStyle w:val="Hyperlink"/>
            <w:rFonts w:cstheme="minorHAnsi"/>
          </w:rPr>
          <w:t>consulting engagement</w:t>
        </w:r>
      </w:hyperlink>
      <w:r w:rsidRPr="00723ABB">
        <w:rPr>
          <w:rFonts w:cstheme="minorHAnsi"/>
        </w:rPr>
        <w:t xml:space="preserve"> with the</w:t>
      </w:r>
      <w:r w:rsidR="00D11E9E">
        <w:rPr>
          <w:rFonts w:cstheme="minorHAnsi"/>
        </w:rPr>
        <w:t xml:space="preserve"> FLDOE</w:t>
      </w:r>
      <w:r w:rsidRPr="00723ABB">
        <w:rPr>
          <w:rFonts w:cstheme="minorHAnsi"/>
        </w:rPr>
        <w:t xml:space="preserve"> Inspector General (IG).</w:t>
      </w:r>
      <w:r w:rsidR="00ED4499">
        <w:rPr>
          <w:rFonts w:cstheme="minorHAnsi"/>
        </w:rPr>
        <w:t xml:space="preserve"> </w:t>
      </w:r>
      <w:r w:rsidR="00E966F5" w:rsidRPr="00723ABB">
        <w:rPr>
          <w:rFonts w:cstheme="minorHAnsi"/>
        </w:rPr>
        <w:t xml:space="preserve">Under the advisement of the IG, the </w:t>
      </w:r>
      <w:r w:rsidR="00ED4499">
        <w:rPr>
          <w:rFonts w:cstheme="minorHAnsi"/>
        </w:rPr>
        <w:t>DFC is forming a textbook affordability workgroup</w:t>
      </w:r>
      <w:r w:rsidR="00011608">
        <w:rPr>
          <w:rFonts w:cstheme="minorHAnsi"/>
        </w:rPr>
        <w:t xml:space="preserve"> to address areas of noncompliance</w:t>
      </w:r>
      <w:r w:rsidR="005E7041">
        <w:rPr>
          <w:rFonts w:cstheme="minorHAnsi"/>
        </w:rPr>
        <w:t xml:space="preserve">. Ultimately, the recommendations put forth by the workgroup will assist the DFC in providing clearer technical assistance </w:t>
      </w:r>
      <w:r w:rsidR="00011608" w:rsidRPr="00011608">
        <w:rPr>
          <w:rFonts w:cstheme="minorHAnsi"/>
        </w:rPr>
        <w:t xml:space="preserve">regarding </w:t>
      </w:r>
      <w:r w:rsidR="00557B96">
        <w:rPr>
          <w:rFonts w:cstheme="minorHAnsi"/>
        </w:rPr>
        <w:t xml:space="preserve">implementation of </w:t>
      </w:r>
      <w:r w:rsidR="00011608" w:rsidRPr="00011608">
        <w:rPr>
          <w:rFonts w:cstheme="minorHAnsi"/>
        </w:rPr>
        <w:t>textbook affordability</w:t>
      </w:r>
      <w:r w:rsidR="005E7041">
        <w:rPr>
          <w:rFonts w:cstheme="minorHAnsi"/>
        </w:rPr>
        <w:t xml:space="preserve"> </w:t>
      </w:r>
      <w:r w:rsidR="00557B96">
        <w:rPr>
          <w:rFonts w:cstheme="minorHAnsi"/>
        </w:rPr>
        <w:t>outlined in s.</w:t>
      </w:r>
      <w:r w:rsidR="00557B96" w:rsidRPr="00723ABB">
        <w:rPr>
          <w:rFonts w:cstheme="minorHAnsi"/>
        </w:rPr>
        <w:t xml:space="preserve"> 1004.085</w:t>
      </w:r>
      <w:r w:rsidR="00557B96">
        <w:rPr>
          <w:rFonts w:cstheme="minorHAnsi"/>
        </w:rPr>
        <w:t>, F.S.</w:t>
      </w:r>
      <w:r w:rsidR="00557B96" w:rsidRPr="00723ABB">
        <w:rPr>
          <w:rFonts w:cstheme="minorHAnsi"/>
        </w:rPr>
        <w:t>,</w:t>
      </w:r>
      <w:r w:rsidR="00557B96">
        <w:rPr>
          <w:rFonts w:cstheme="minorHAnsi"/>
        </w:rPr>
        <w:t xml:space="preserve"> and </w:t>
      </w:r>
      <w:hyperlink r:id="rId10" w:history="1">
        <w:r w:rsidR="00557B96" w:rsidRPr="00D56E28">
          <w:rPr>
            <w:rStyle w:val="Hyperlink"/>
            <w:rFonts w:cstheme="minorHAnsi"/>
            <w:shd w:val="clear" w:color="auto" w:fill="FFFFFF"/>
          </w:rPr>
          <w:t>Rule 6A-14.092</w:t>
        </w:r>
      </w:hyperlink>
      <w:r w:rsidR="00557B96">
        <w:rPr>
          <w:rFonts w:cstheme="minorHAnsi"/>
          <w:shd w:val="clear" w:color="auto" w:fill="FFFFFF"/>
        </w:rPr>
        <w:t>, Florida Administrative Code.</w:t>
      </w:r>
    </w:p>
    <w:p w14:paraId="4475FCED" w14:textId="776392F8" w:rsidR="00B5768A" w:rsidRPr="00A75F53" w:rsidRDefault="00B5768A" w:rsidP="002A71DA">
      <w:pPr>
        <w:spacing w:after="0" w:line="240" w:lineRule="auto"/>
        <w:textAlignment w:val="baseline"/>
        <w:rPr>
          <w:rFonts w:eastAsia="Times New Roman" w:cstheme="minorHAnsi"/>
          <w:sz w:val="24"/>
          <w:szCs w:val="24"/>
        </w:rPr>
      </w:pPr>
    </w:p>
    <w:p w14:paraId="4E14ABC0" w14:textId="36EF2491" w:rsidR="00B5768A" w:rsidRPr="00A75F53" w:rsidRDefault="00100A43" w:rsidP="00B5768A">
      <w:pPr>
        <w:spacing w:after="0" w:line="240" w:lineRule="auto"/>
        <w:textAlignment w:val="baseline"/>
        <w:rPr>
          <w:rFonts w:eastAsia="Times New Roman" w:cstheme="minorHAnsi"/>
          <w:sz w:val="24"/>
          <w:szCs w:val="24"/>
        </w:rPr>
      </w:pPr>
      <w:r>
        <w:rPr>
          <w:rFonts w:eastAsia="Times New Roman" w:cstheme="minorHAnsi"/>
          <w:b/>
          <w:bCs/>
          <w:position w:val="2"/>
          <w:sz w:val="24"/>
          <w:szCs w:val="24"/>
        </w:rPr>
        <w:t>Charge</w:t>
      </w:r>
    </w:p>
    <w:p w14:paraId="2BEB90DA" w14:textId="477BF5A2" w:rsidR="00E178FA" w:rsidRPr="00E178FA" w:rsidRDefault="00B5768A" w:rsidP="00421C12">
      <w:pPr>
        <w:spacing w:after="0" w:line="240" w:lineRule="auto"/>
        <w:jc w:val="both"/>
        <w:textAlignment w:val="baseline"/>
        <w:rPr>
          <w:rFonts w:eastAsia="Times New Roman" w:cstheme="minorHAnsi"/>
          <w:position w:val="2"/>
        </w:rPr>
      </w:pPr>
      <w:r w:rsidRPr="00E178FA">
        <w:rPr>
          <w:rFonts w:eastAsia="Times New Roman" w:cstheme="minorHAnsi"/>
          <w:position w:val="2"/>
        </w:rPr>
        <w:t xml:space="preserve">The </w:t>
      </w:r>
      <w:r w:rsidR="00011716" w:rsidRPr="00E178FA">
        <w:rPr>
          <w:rFonts w:eastAsia="Times New Roman" w:cstheme="minorHAnsi"/>
          <w:position w:val="2"/>
        </w:rPr>
        <w:t>ch</w:t>
      </w:r>
      <w:r w:rsidR="00011716" w:rsidRPr="00FA4F46">
        <w:rPr>
          <w:rFonts w:eastAsia="Times New Roman" w:cstheme="minorHAnsi"/>
          <w:position w:val="2"/>
        </w:rPr>
        <w:t xml:space="preserve">arge </w:t>
      </w:r>
      <w:r w:rsidRPr="00FA4F46">
        <w:rPr>
          <w:rFonts w:eastAsia="Times New Roman" w:cstheme="minorHAnsi"/>
          <w:position w:val="2"/>
        </w:rPr>
        <w:t xml:space="preserve">of </w:t>
      </w:r>
      <w:r w:rsidR="00100A43" w:rsidRPr="00FA4F46">
        <w:rPr>
          <w:rFonts w:eastAsia="Times New Roman" w:cstheme="minorHAnsi"/>
          <w:position w:val="2"/>
        </w:rPr>
        <w:t xml:space="preserve">the textbook affordability workgroup </w:t>
      </w:r>
      <w:r w:rsidRPr="00FA4F46">
        <w:rPr>
          <w:rFonts w:eastAsia="Times New Roman" w:cstheme="minorHAnsi"/>
          <w:position w:val="2"/>
        </w:rPr>
        <w:t xml:space="preserve">is to </w:t>
      </w:r>
      <w:r w:rsidR="002A71DA" w:rsidRPr="00FA4F46">
        <w:rPr>
          <w:rFonts w:eastAsia="Times New Roman" w:cstheme="minorHAnsi"/>
          <w:position w:val="2"/>
        </w:rPr>
        <w:t>address</w:t>
      </w:r>
      <w:r w:rsidRPr="00FA4F46">
        <w:rPr>
          <w:rFonts w:eastAsia="Times New Roman" w:cstheme="minorHAnsi"/>
          <w:position w:val="2"/>
        </w:rPr>
        <w:t xml:space="preserve"> </w:t>
      </w:r>
      <w:r w:rsidR="00FA4F46" w:rsidRPr="00FA4F46">
        <w:rPr>
          <w:rFonts w:eastAsia="Times New Roman" w:cstheme="minorHAnsi"/>
          <w:position w:val="2"/>
        </w:rPr>
        <w:t>topics in the</w:t>
      </w:r>
      <w:r w:rsidRPr="00FA4F46">
        <w:rPr>
          <w:rFonts w:eastAsia="Times New Roman" w:cstheme="minorHAnsi"/>
          <w:position w:val="2"/>
        </w:rPr>
        <w:t xml:space="preserve"> IG's</w:t>
      </w:r>
      <w:r w:rsidRPr="00FA4F46">
        <w:rPr>
          <w:rFonts w:eastAsia="Times New Roman" w:cstheme="minorHAnsi"/>
          <w:bCs/>
          <w:position w:val="2"/>
        </w:rPr>
        <w:t> </w:t>
      </w:r>
      <w:r w:rsidR="00FA4F46" w:rsidRPr="00FA4F46">
        <w:rPr>
          <w:rFonts w:eastAsia="Times New Roman" w:cstheme="minorHAnsi"/>
          <w:bCs/>
          <w:position w:val="2"/>
        </w:rPr>
        <w:t xml:space="preserve">report and to put forth </w:t>
      </w:r>
      <w:r w:rsidRPr="00FA4F46">
        <w:rPr>
          <w:rFonts w:eastAsia="Times New Roman" w:cstheme="minorHAnsi"/>
          <w:position w:val="2"/>
        </w:rPr>
        <w:t xml:space="preserve">recommendations </w:t>
      </w:r>
      <w:r w:rsidR="00FA4F46" w:rsidRPr="00FA4F46">
        <w:rPr>
          <w:rFonts w:eastAsia="Times New Roman" w:cstheme="minorHAnsi"/>
          <w:position w:val="2"/>
        </w:rPr>
        <w:t xml:space="preserve">to </w:t>
      </w:r>
      <w:r w:rsidR="00100A43">
        <w:rPr>
          <w:rFonts w:eastAsia="Times New Roman" w:cstheme="minorHAnsi"/>
          <w:position w:val="2"/>
        </w:rPr>
        <w:t>DFC that will be used to</w:t>
      </w:r>
      <w:r w:rsidR="00FA4F46" w:rsidRPr="00FA4F46">
        <w:rPr>
          <w:rFonts w:eastAsia="Times New Roman" w:cstheme="minorHAnsi"/>
          <w:position w:val="2"/>
        </w:rPr>
        <w:t xml:space="preserve"> inform technical guidance and assistance around textbook affordability</w:t>
      </w:r>
      <w:r w:rsidR="00FA4F46">
        <w:rPr>
          <w:rFonts w:eastAsia="Times New Roman" w:cstheme="minorHAnsi"/>
          <w:position w:val="2"/>
        </w:rPr>
        <w:t>.</w:t>
      </w:r>
      <w:r w:rsidR="0029300B">
        <w:rPr>
          <w:rFonts w:eastAsia="Times New Roman" w:cstheme="minorHAnsi"/>
          <w:position w:val="2"/>
        </w:rPr>
        <w:t xml:space="preserve"> </w:t>
      </w:r>
      <w:r w:rsidR="00100A43">
        <w:rPr>
          <w:rFonts w:eastAsia="Times New Roman" w:cstheme="minorHAnsi"/>
          <w:position w:val="2"/>
        </w:rPr>
        <w:t xml:space="preserve">DFC seeks representation </w:t>
      </w:r>
      <w:r w:rsidR="00E178FA" w:rsidRPr="00E178FA">
        <w:rPr>
          <w:rFonts w:eastAsia="Times New Roman" w:cstheme="minorHAnsi"/>
          <w:position w:val="2"/>
        </w:rPr>
        <w:t xml:space="preserve">from </w:t>
      </w:r>
      <w:r w:rsidR="00100A43" w:rsidRPr="00E178FA">
        <w:rPr>
          <w:rFonts w:eastAsia="Times New Roman" w:cstheme="minorHAnsi"/>
          <w:position w:val="2"/>
        </w:rPr>
        <w:t>academic affairs, st</w:t>
      </w:r>
      <w:r w:rsidR="00100A43">
        <w:rPr>
          <w:rFonts w:eastAsia="Times New Roman" w:cstheme="minorHAnsi"/>
          <w:position w:val="2"/>
        </w:rPr>
        <w:t>udent affairs, business affairs</w:t>
      </w:r>
      <w:r w:rsidR="00100A43" w:rsidRPr="00E178FA">
        <w:rPr>
          <w:rFonts w:eastAsia="Times New Roman" w:cstheme="minorHAnsi"/>
          <w:position w:val="2"/>
        </w:rPr>
        <w:t xml:space="preserve"> </w:t>
      </w:r>
      <w:r w:rsidR="00100A43">
        <w:rPr>
          <w:rFonts w:eastAsia="Times New Roman" w:cstheme="minorHAnsi"/>
          <w:position w:val="2"/>
        </w:rPr>
        <w:t xml:space="preserve">and </w:t>
      </w:r>
      <w:r w:rsidR="00100A43" w:rsidRPr="00E178FA">
        <w:rPr>
          <w:rFonts w:eastAsia="Times New Roman" w:cstheme="minorHAnsi"/>
          <w:position w:val="2"/>
        </w:rPr>
        <w:t>f</w:t>
      </w:r>
      <w:r w:rsidR="0029300B" w:rsidRPr="00E178FA">
        <w:rPr>
          <w:rFonts w:eastAsia="Times New Roman" w:cstheme="minorHAnsi"/>
          <w:position w:val="2"/>
        </w:rPr>
        <w:t xml:space="preserve">aculty </w:t>
      </w:r>
      <w:r w:rsidR="00100A43">
        <w:rPr>
          <w:rFonts w:eastAsia="Times New Roman" w:cstheme="minorHAnsi"/>
          <w:position w:val="2"/>
        </w:rPr>
        <w:t xml:space="preserve">who </w:t>
      </w:r>
      <w:r w:rsidR="00E178FA" w:rsidRPr="00E178FA">
        <w:rPr>
          <w:rFonts w:eastAsia="Times New Roman" w:cstheme="minorHAnsi"/>
          <w:position w:val="2"/>
        </w:rPr>
        <w:t>will work</w:t>
      </w:r>
      <w:r w:rsidR="00100A43">
        <w:rPr>
          <w:rFonts w:eastAsia="Times New Roman" w:cstheme="minorHAnsi"/>
          <w:position w:val="2"/>
        </w:rPr>
        <w:t xml:space="preserve"> collectively</w:t>
      </w:r>
      <w:r w:rsidR="00E178FA" w:rsidRPr="00E178FA">
        <w:rPr>
          <w:rFonts w:eastAsia="Times New Roman" w:cstheme="minorHAnsi"/>
          <w:position w:val="2"/>
        </w:rPr>
        <w:t xml:space="preserve"> to </w:t>
      </w:r>
      <w:r w:rsidR="00FA4F46">
        <w:rPr>
          <w:rFonts w:eastAsia="Times New Roman" w:cstheme="minorHAnsi"/>
          <w:position w:val="2"/>
        </w:rPr>
        <w:t>improve</w:t>
      </w:r>
      <w:r w:rsidR="00E178FA" w:rsidRPr="00E178FA">
        <w:rPr>
          <w:rFonts w:eastAsia="Times New Roman" w:cstheme="minorHAnsi"/>
          <w:position w:val="2"/>
        </w:rPr>
        <w:t xml:space="preserve"> textbook affordability reporting across the FCS institutions. </w:t>
      </w:r>
      <w:r w:rsidR="00036EF5">
        <w:rPr>
          <w:rFonts w:eastAsia="Times New Roman" w:cstheme="minorHAnsi"/>
          <w:position w:val="2"/>
        </w:rPr>
        <w:t xml:space="preserve">The level of commitment of the workgroup members includes </w:t>
      </w:r>
      <w:r w:rsidR="00B16908">
        <w:rPr>
          <w:rFonts w:eastAsia="Times New Roman" w:cstheme="minorHAnsi"/>
          <w:position w:val="2"/>
        </w:rPr>
        <w:t>participation in conference calls and web meetings as well as members of subgroups convening remotely and presenting recommendations to the larger workgroup.</w:t>
      </w:r>
      <w:r w:rsidR="00003B82">
        <w:rPr>
          <w:rFonts w:eastAsia="Times New Roman" w:cstheme="minorHAnsi"/>
          <w:position w:val="2"/>
        </w:rPr>
        <w:t xml:space="preserve"> We anticipate that involvement in the workgroups will involve approximately 4 hours of work per month for a total of 16-20 hours over the term.</w:t>
      </w:r>
      <w:r w:rsidR="00B16908">
        <w:rPr>
          <w:rFonts w:eastAsia="Times New Roman" w:cstheme="minorHAnsi"/>
          <w:position w:val="2"/>
        </w:rPr>
        <w:t xml:space="preserve"> </w:t>
      </w:r>
      <w:r w:rsidR="00E178FA" w:rsidRPr="00E178FA">
        <w:rPr>
          <w:rFonts w:eastAsia="Times New Roman" w:cstheme="minorHAnsi"/>
          <w:position w:val="2"/>
        </w:rPr>
        <w:t>Participants of the workgroups will have the opportunity to share their expertise, skills</w:t>
      </w:r>
      <w:r w:rsidR="00003B82">
        <w:rPr>
          <w:rFonts w:eastAsia="Times New Roman" w:cstheme="minorHAnsi"/>
          <w:position w:val="2"/>
        </w:rPr>
        <w:t>,</w:t>
      </w:r>
      <w:bookmarkStart w:id="0" w:name="_GoBack"/>
      <w:bookmarkEnd w:id="0"/>
      <w:r w:rsidR="00E178FA" w:rsidRPr="00E178FA">
        <w:rPr>
          <w:rFonts w:eastAsia="Times New Roman" w:cstheme="minorHAnsi"/>
          <w:position w:val="2"/>
        </w:rPr>
        <w:t xml:space="preserve"> and insights</w:t>
      </w:r>
      <w:r w:rsidR="000E5DA8">
        <w:rPr>
          <w:rFonts w:eastAsia="Times New Roman" w:cstheme="minorHAnsi"/>
          <w:position w:val="2"/>
        </w:rPr>
        <w:t>.</w:t>
      </w:r>
    </w:p>
    <w:p w14:paraId="108A1AEB" w14:textId="77777777" w:rsidR="00011716" w:rsidRDefault="00011716" w:rsidP="00B5768A">
      <w:pPr>
        <w:spacing w:after="0" w:line="240" w:lineRule="auto"/>
        <w:textAlignment w:val="baseline"/>
        <w:rPr>
          <w:rFonts w:eastAsia="Times New Roman" w:cstheme="minorHAnsi"/>
          <w:sz w:val="24"/>
          <w:szCs w:val="24"/>
        </w:rPr>
      </w:pPr>
    </w:p>
    <w:p w14:paraId="064F770F" w14:textId="6F702AA5" w:rsidR="00011716" w:rsidRDefault="00E178FA" w:rsidP="002A71DA">
      <w:pPr>
        <w:spacing w:after="0" w:line="240" w:lineRule="auto"/>
        <w:rPr>
          <w:rFonts w:eastAsia="Times New Roman" w:cstheme="minorHAnsi"/>
          <w:b/>
          <w:position w:val="2"/>
          <w:sz w:val="24"/>
          <w:szCs w:val="24"/>
        </w:rPr>
      </w:pPr>
      <w:r>
        <w:rPr>
          <w:rFonts w:eastAsia="Times New Roman" w:cstheme="minorHAnsi"/>
          <w:b/>
          <w:position w:val="2"/>
          <w:sz w:val="24"/>
          <w:szCs w:val="24"/>
        </w:rPr>
        <w:t xml:space="preserve">Specific </w:t>
      </w:r>
      <w:r w:rsidR="00011716" w:rsidRPr="008935A6">
        <w:rPr>
          <w:rFonts w:eastAsia="Times New Roman" w:cstheme="minorHAnsi"/>
          <w:b/>
          <w:position w:val="2"/>
          <w:sz w:val="24"/>
          <w:szCs w:val="24"/>
        </w:rPr>
        <w:t>Objectives</w:t>
      </w:r>
    </w:p>
    <w:p w14:paraId="71991448" w14:textId="603140F3" w:rsidR="00EE138E" w:rsidRDefault="009065ED" w:rsidP="002A71DA">
      <w:pPr>
        <w:spacing w:after="0" w:line="240" w:lineRule="auto"/>
        <w:rPr>
          <w:rFonts w:eastAsia="Times New Roman" w:cstheme="minorHAnsi"/>
          <w:position w:val="2"/>
        </w:rPr>
      </w:pPr>
      <w:r w:rsidRPr="009065ED">
        <w:rPr>
          <w:rFonts w:eastAsia="Times New Roman" w:cstheme="minorHAnsi"/>
          <w:position w:val="2"/>
        </w:rPr>
        <w:t xml:space="preserve">DFC </w:t>
      </w:r>
      <w:r w:rsidR="005B17A1">
        <w:rPr>
          <w:rFonts w:eastAsia="Times New Roman" w:cstheme="minorHAnsi"/>
          <w:position w:val="2"/>
        </w:rPr>
        <w:t>anticipates the workgroup will be split into subgroups that will each address the</w:t>
      </w:r>
      <w:r w:rsidR="005B17A1" w:rsidRPr="009065ED">
        <w:rPr>
          <w:rFonts w:eastAsia="Times New Roman" w:cstheme="minorHAnsi"/>
          <w:position w:val="2"/>
        </w:rPr>
        <w:t>matic areas of recommendation</w:t>
      </w:r>
      <w:r w:rsidR="005B17A1">
        <w:rPr>
          <w:rFonts w:eastAsia="Times New Roman" w:cstheme="minorHAnsi"/>
          <w:position w:val="2"/>
        </w:rPr>
        <w:t>s</w:t>
      </w:r>
      <w:r w:rsidR="005B17A1" w:rsidRPr="009065ED">
        <w:rPr>
          <w:rFonts w:eastAsia="Times New Roman" w:cstheme="minorHAnsi"/>
          <w:position w:val="2"/>
        </w:rPr>
        <w:t xml:space="preserve"> made by the IG</w:t>
      </w:r>
      <w:r w:rsidR="005B17A1">
        <w:rPr>
          <w:rFonts w:eastAsia="Times New Roman" w:cstheme="minorHAnsi"/>
          <w:position w:val="2"/>
        </w:rPr>
        <w:t>; minimally:</w:t>
      </w:r>
    </w:p>
    <w:p w14:paraId="6565ECB3" w14:textId="77777777" w:rsidR="005B17A1" w:rsidRPr="009065ED" w:rsidRDefault="005B17A1" w:rsidP="002A71DA">
      <w:pPr>
        <w:spacing w:after="0" w:line="240" w:lineRule="auto"/>
        <w:rPr>
          <w:rFonts w:cstheme="minorHAnsi"/>
          <w:shd w:val="clear" w:color="auto" w:fill="FFFFFF"/>
        </w:rPr>
      </w:pPr>
    </w:p>
    <w:p w14:paraId="2450BE8A" w14:textId="77777777" w:rsidR="00E65E20" w:rsidRDefault="00EC5444" w:rsidP="00E65E20">
      <w:pPr>
        <w:pStyle w:val="paragraph"/>
        <w:numPr>
          <w:ilvl w:val="0"/>
          <w:numId w:val="27"/>
        </w:numPr>
        <w:spacing w:before="0" w:beforeAutospacing="0" w:after="0" w:afterAutospacing="0"/>
        <w:jc w:val="both"/>
        <w:textAlignment w:val="baseline"/>
        <w:rPr>
          <w:rStyle w:val="normaltextrun"/>
          <w:rFonts w:asciiTheme="minorHAnsi" w:hAnsiTheme="minorHAnsi" w:cstheme="minorHAnsi"/>
          <w:sz w:val="22"/>
          <w:szCs w:val="22"/>
        </w:rPr>
      </w:pPr>
      <w:r w:rsidRPr="009065ED">
        <w:rPr>
          <w:rStyle w:val="normaltextrun"/>
          <w:rFonts w:asciiTheme="minorHAnsi" w:hAnsiTheme="minorHAnsi" w:cstheme="minorHAnsi"/>
          <w:position w:val="3"/>
          <w:sz w:val="22"/>
          <w:szCs w:val="22"/>
        </w:rPr>
        <w:t>Establish</w:t>
      </w:r>
      <w:r w:rsidR="00C21B98" w:rsidRPr="009065ED">
        <w:rPr>
          <w:rStyle w:val="normaltextrun"/>
          <w:rFonts w:asciiTheme="minorHAnsi" w:hAnsiTheme="minorHAnsi" w:cstheme="minorHAnsi"/>
          <w:position w:val="3"/>
          <w:sz w:val="22"/>
          <w:szCs w:val="22"/>
        </w:rPr>
        <w:t xml:space="preserve"> a definition</w:t>
      </w:r>
      <w:r w:rsidR="00E178FA" w:rsidRPr="009065ED">
        <w:rPr>
          <w:rStyle w:val="normaltextrun"/>
          <w:rFonts w:asciiTheme="minorHAnsi" w:hAnsiTheme="minorHAnsi" w:cstheme="minorHAnsi"/>
          <w:position w:val="3"/>
          <w:sz w:val="22"/>
          <w:szCs w:val="22"/>
        </w:rPr>
        <w:t xml:space="preserve"> of wide cost varia</w:t>
      </w:r>
      <w:r w:rsidR="00EE138E" w:rsidRPr="009065ED">
        <w:rPr>
          <w:rStyle w:val="normaltextrun"/>
          <w:rFonts w:asciiTheme="minorHAnsi" w:hAnsiTheme="minorHAnsi" w:cstheme="minorHAnsi"/>
          <w:position w:val="3"/>
          <w:sz w:val="22"/>
          <w:szCs w:val="22"/>
        </w:rPr>
        <w:t>nce.</w:t>
      </w:r>
    </w:p>
    <w:p w14:paraId="39CFAAAF" w14:textId="77777777" w:rsidR="00E65E20" w:rsidRDefault="00C21B98" w:rsidP="00E65E20">
      <w:pPr>
        <w:pStyle w:val="paragraph"/>
        <w:numPr>
          <w:ilvl w:val="0"/>
          <w:numId w:val="27"/>
        </w:numPr>
        <w:spacing w:before="0" w:beforeAutospacing="0" w:after="0" w:afterAutospacing="0"/>
        <w:jc w:val="both"/>
        <w:textAlignment w:val="baseline"/>
        <w:rPr>
          <w:rStyle w:val="normaltextrun"/>
          <w:rFonts w:asciiTheme="minorHAnsi" w:hAnsiTheme="minorHAnsi" w:cstheme="minorHAnsi"/>
          <w:sz w:val="22"/>
          <w:szCs w:val="22"/>
        </w:rPr>
      </w:pPr>
      <w:r w:rsidRPr="00E65E20">
        <w:rPr>
          <w:rStyle w:val="normaltextrun"/>
          <w:rFonts w:asciiTheme="minorHAnsi" w:hAnsiTheme="minorHAnsi" w:cstheme="minorHAnsi"/>
          <w:position w:val="3"/>
          <w:sz w:val="22"/>
          <w:szCs w:val="22"/>
        </w:rPr>
        <w:t xml:space="preserve">Establish a definition of </w:t>
      </w:r>
      <w:r w:rsidR="00EE138E" w:rsidRPr="00E65E20">
        <w:rPr>
          <w:rStyle w:val="normaltextrun"/>
          <w:rFonts w:asciiTheme="minorHAnsi" w:hAnsiTheme="minorHAnsi" w:cstheme="minorHAnsi"/>
          <w:position w:val="3"/>
          <w:sz w:val="22"/>
          <w:szCs w:val="22"/>
        </w:rPr>
        <w:t>high enrollment courses.</w:t>
      </w:r>
    </w:p>
    <w:p w14:paraId="469B3317" w14:textId="77777777" w:rsidR="00E65E20" w:rsidRPr="00E65E20" w:rsidRDefault="00CC7857" w:rsidP="00E65E20">
      <w:pPr>
        <w:pStyle w:val="paragraph"/>
        <w:numPr>
          <w:ilvl w:val="0"/>
          <w:numId w:val="27"/>
        </w:numPr>
        <w:spacing w:before="0" w:beforeAutospacing="0" w:after="0" w:afterAutospacing="0"/>
        <w:jc w:val="both"/>
        <w:textAlignment w:val="baseline"/>
        <w:rPr>
          <w:rStyle w:val="normaltextrun"/>
          <w:rFonts w:asciiTheme="minorHAnsi" w:hAnsiTheme="minorHAnsi" w:cstheme="minorHAnsi"/>
          <w:sz w:val="22"/>
          <w:szCs w:val="22"/>
        </w:rPr>
      </w:pPr>
      <w:r w:rsidRPr="00E65E20">
        <w:rPr>
          <w:rStyle w:val="normaltextrun"/>
          <w:rFonts w:asciiTheme="minorHAnsi" w:hAnsiTheme="minorHAnsi" w:cstheme="minorHAnsi"/>
          <w:position w:val="3"/>
          <w:sz w:val="22"/>
          <w:szCs w:val="22"/>
        </w:rPr>
        <w:t>Specify</w:t>
      </w:r>
      <w:r w:rsidR="00011716" w:rsidRPr="00E65E20">
        <w:rPr>
          <w:rStyle w:val="normaltextrun"/>
          <w:rFonts w:asciiTheme="minorHAnsi" w:hAnsiTheme="minorHAnsi" w:cstheme="minorHAnsi"/>
          <w:position w:val="3"/>
          <w:sz w:val="22"/>
          <w:szCs w:val="22"/>
        </w:rPr>
        <w:t xml:space="preserve"> r</w:t>
      </w:r>
      <w:r w:rsidR="002A71DA" w:rsidRPr="00E65E20">
        <w:rPr>
          <w:rStyle w:val="normaltextrun"/>
          <w:rFonts w:asciiTheme="minorHAnsi" w:hAnsiTheme="minorHAnsi" w:cstheme="minorHAnsi"/>
          <w:position w:val="3"/>
          <w:sz w:val="22"/>
          <w:szCs w:val="22"/>
        </w:rPr>
        <w:t xml:space="preserve">easonable exceptions to </w:t>
      </w:r>
      <w:r w:rsidR="00011716" w:rsidRPr="00E65E20">
        <w:rPr>
          <w:rStyle w:val="normaltextrun"/>
          <w:rFonts w:asciiTheme="minorHAnsi" w:hAnsiTheme="minorHAnsi" w:cstheme="minorHAnsi"/>
          <w:position w:val="3"/>
          <w:sz w:val="22"/>
          <w:szCs w:val="22"/>
        </w:rPr>
        <w:t xml:space="preserve">the </w:t>
      </w:r>
      <w:r w:rsidR="002A71DA" w:rsidRPr="00E65E20">
        <w:rPr>
          <w:rStyle w:val="normaltextrun"/>
          <w:rFonts w:asciiTheme="minorHAnsi" w:hAnsiTheme="minorHAnsi" w:cstheme="minorHAnsi"/>
          <w:position w:val="3"/>
          <w:sz w:val="22"/>
          <w:szCs w:val="22"/>
        </w:rPr>
        <w:t>45-day window</w:t>
      </w:r>
      <w:r w:rsidR="00011716" w:rsidRPr="00E65E20">
        <w:rPr>
          <w:rStyle w:val="normaltextrun"/>
          <w:rFonts w:asciiTheme="minorHAnsi" w:hAnsiTheme="minorHAnsi" w:cstheme="minorHAnsi"/>
          <w:position w:val="3"/>
          <w:sz w:val="22"/>
          <w:szCs w:val="22"/>
        </w:rPr>
        <w:t xml:space="preserve"> of posting required course </w:t>
      </w:r>
      <w:r w:rsidRPr="00E65E20">
        <w:rPr>
          <w:rStyle w:val="normaltextrun"/>
          <w:rFonts w:asciiTheme="minorHAnsi" w:hAnsiTheme="minorHAnsi" w:cstheme="minorHAnsi"/>
          <w:position w:val="3"/>
          <w:sz w:val="22"/>
          <w:szCs w:val="22"/>
        </w:rPr>
        <w:t>materials</w:t>
      </w:r>
      <w:r w:rsidR="00EE138E" w:rsidRPr="00E65E20">
        <w:rPr>
          <w:rStyle w:val="normaltextrun"/>
          <w:rFonts w:asciiTheme="minorHAnsi" w:hAnsiTheme="minorHAnsi" w:cstheme="minorHAnsi"/>
          <w:position w:val="3"/>
          <w:sz w:val="22"/>
          <w:szCs w:val="22"/>
        </w:rPr>
        <w:t>.</w:t>
      </w:r>
    </w:p>
    <w:p w14:paraId="440B5860" w14:textId="77777777" w:rsidR="00036EF5" w:rsidRPr="00281E61" w:rsidRDefault="00036EF5" w:rsidP="00036EF5">
      <w:pPr>
        <w:numPr>
          <w:ilvl w:val="0"/>
          <w:numId w:val="27"/>
        </w:numPr>
        <w:spacing w:before="100" w:beforeAutospacing="1" w:after="100" w:afterAutospacing="1" w:line="240" w:lineRule="auto"/>
        <w:rPr>
          <w:rFonts w:eastAsia="Times New Roman" w:cstheme="minorHAnsi"/>
        </w:rPr>
      </w:pPr>
      <w:r w:rsidRPr="00281E61">
        <w:rPr>
          <w:rFonts w:eastAsia="Times New Roman" w:cstheme="minorHAnsi"/>
        </w:rPr>
        <w:t>Identify best practic</w:t>
      </w:r>
      <w:r>
        <w:rPr>
          <w:rFonts w:eastAsia="Times New Roman" w:cstheme="minorHAnsi"/>
        </w:rPr>
        <w:t xml:space="preserve">es for bookstore contracts as they relate </w:t>
      </w:r>
      <w:r w:rsidRPr="00281E61">
        <w:rPr>
          <w:rFonts w:eastAsia="Times New Roman" w:cstheme="minorHAnsi"/>
        </w:rPr>
        <w:t>to timely posting of course materials.</w:t>
      </w:r>
    </w:p>
    <w:p w14:paraId="3550A364" w14:textId="77777777" w:rsidR="00EE138E" w:rsidRPr="009065ED" w:rsidRDefault="00EE138E" w:rsidP="00EE138E">
      <w:pPr>
        <w:spacing w:after="0" w:line="240" w:lineRule="auto"/>
        <w:textAlignment w:val="baseline"/>
        <w:rPr>
          <w:rFonts w:eastAsia="Times New Roman" w:cstheme="minorHAnsi"/>
          <w:position w:val="2"/>
        </w:rPr>
      </w:pPr>
    </w:p>
    <w:p w14:paraId="0ACF920F" w14:textId="1426B964" w:rsidR="005B17A1" w:rsidRDefault="005B17A1" w:rsidP="00E966F5">
      <w:pPr>
        <w:spacing w:after="0"/>
        <w:rPr>
          <w:rFonts w:cstheme="minorHAnsi"/>
          <w:b/>
          <w:sz w:val="24"/>
          <w:szCs w:val="24"/>
        </w:rPr>
      </w:pPr>
    </w:p>
    <w:p w14:paraId="353657E4" w14:textId="0599D903" w:rsidR="009E5247" w:rsidRPr="008935A6" w:rsidRDefault="00E966F5" w:rsidP="00E966F5">
      <w:pPr>
        <w:spacing w:after="0"/>
        <w:rPr>
          <w:rFonts w:cstheme="minorHAnsi"/>
          <w:b/>
          <w:sz w:val="24"/>
          <w:szCs w:val="24"/>
        </w:rPr>
      </w:pPr>
      <w:r>
        <w:rPr>
          <w:rFonts w:cstheme="minorHAnsi"/>
          <w:b/>
          <w:sz w:val="24"/>
          <w:szCs w:val="24"/>
        </w:rPr>
        <w:t>Timeline</w:t>
      </w:r>
    </w:p>
    <w:tbl>
      <w:tblPr>
        <w:tblStyle w:val="TableGrid1"/>
        <w:tblW w:w="0" w:type="auto"/>
        <w:tblLook w:val="04A0" w:firstRow="1" w:lastRow="0" w:firstColumn="1" w:lastColumn="0" w:noHBand="0" w:noVBand="1"/>
      </w:tblPr>
      <w:tblGrid>
        <w:gridCol w:w="2875"/>
        <w:gridCol w:w="6021"/>
      </w:tblGrid>
      <w:tr w:rsidR="005B17A1" w:rsidRPr="008935A6" w14:paraId="652B5D61" w14:textId="77777777" w:rsidTr="005B17A1">
        <w:trPr>
          <w:trHeight w:val="227"/>
        </w:trPr>
        <w:tc>
          <w:tcPr>
            <w:tcW w:w="2875" w:type="dxa"/>
          </w:tcPr>
          <w:p w14:paraId="5A81420A" w14:textId="52A18D8D" w:rsidR="005B17A1" w:rsidRPr="00E966F5" w:rsidRDefault="005B17A1" w:rsidP="00056F43">
            <w:pPr>
              <w:rPr>
                <w:rFonts w:cstheme="minorHAnsi"/>
                <w:b/>
              </w:rPr>
            </w:pPr>
            <w:r w:rsidRPr="00E966F5">
              <w:rPr>
                <w:rFonts w:cstheme="minorHAnsi"/>
                <w:b/>
              </w:rPr>
              <w:t>Date</w:t>
            </w:r>
          </w:p>
        </w:tc>
        <w:tc>
          <w:tcPr>
            <w:tcW w:w="6021" w:type="dxa"/>
          </w:tcPr>
          <w:p w14:paraId="1AD852B7" w14:textId="5A286395" w:rsidR="005B17A1" w:rsidRPr="00E966F5" w:rsidRDefault="005B17A1" w:rsidP="00056F43">
            <w:pPr>
              <w:rPr>
                <w:rFonts w:cstheme="minorHAnsi"/>
                <w:b/>
              </w:rPr>
            </w:pPr>
            <w:r w:rsidRPr="00E966F5">
              <w:rPr>
                <w:rFonts w:cstheme="minorHAnsi"/>
                <w:b/>
              </w:rPr>
              <w:t>Activity</w:t>
            </w:r>
          </w:p>
        </w:tc>
      </w:tr>
      <w:tr w:rsidR="005B17A1" w:rsidRPr="008935A6" w14:paraId="17B7E337" w14:textId="77777777" w:rsidTr="005B17A1">
        <w:trPr>
          <w:trHeight w:val="235"/>
        </w:trPr>
        <w:tc>
          <w:tcPr>
            <w:tcW w:w="2875" w:type="dxa"/>
          </w:tcPr>
          <w:p w14:paraId="4D46292B" w14:textId="64A0C902" w:rsidR="005B17A1" w:rsidRPr="00E966F5" w:rsidRDefault="005B17A1" w:rsidP="005B17A1">
            <w:pPr>
              <w:rPr>
                <w:rFonts w:cstheme="minorHAnsi"/>
              </w:rPr>
            </w:pPr>
            <w:r>
              <w:rPr>
                <w:rFonts w:cstheme="minorHAnsi"/>
              </w:rPr>
              <w:t>December 2019</w:t>
            </w:r>
          </w:p>
        </w:tc>
        <w:tc>
          <w:tcPr>
            <w:tcW w:w="6021" w:type="dxa"/>
          </w:tcPr>
          <w:p w14:paraId="4BAA3D76" w14:textId="3399D348" w:rsidR="005B17A1" w:rsidRPr="00E966F5" w:rsidRDefault="005B17A1" w:rsidP="005B17A1">
            <w:pPr>
              <w:rPr>
                <w:rFonts w:cstheme="minorHAnsi"/>
              </w:rPr>
            </w:pPr>
            <w:r>
              <w:rPr>
                <w:rFonts w:cstheme="minorHAnsi"/>
              </w:rPr>
              <w:t>Identify workgroup membership</w:t>
            </w:r>
          </w:p>
        </w:tc>
      </w:tr>
      <w:tr w:rsidR="005B17A1" w:rsidRPr="008935A6" w14:paraId="088A15D1" w14:textId="77777777" w:rsidTr="005B17A1">
        <w:trPr>
          <w:trHeight w:val="71"/>
        </w:trPr>
        <w:tc>
          <w:tcPr>
            <w:tcW w:w="2875" w:type="dxa"/>
          </w:tcPr>
          <w:p w14:paraId="6069B056" w14:textId="2D4C388F" w:rsidR="005B17A1" w:rsidRDefault="005B17A1" w:rsidP="005B17A1">
            <w:pPr>
              <w:rPr>
                <w:rFonts w:cstheme="minorHAnsi"/>
              </w:rPr>
            </w:pPr>
            <w:r>
              <w:rPr>
                <w:rFonts w:cstheme="minorHAnsi"/>
              </w:rPr>
              <w:t>January 2020</w:t>
            </w:r>
          </w:p>
        </w:tc>
        <w:tc>
          <w:tcPr>
            <w:tcW w:w="6021" w:type="dxa"/>
          </w:tcPr>
          <w:p w14:paraId="04946709" w14:textId="0F107DB7" w:rsidR="00D56E28" w:rsidRPr="00E966F5" w:rsidRDefault="005B17A1" w:rsidP="00D56E28">
            <w:pPr>
              <w:rPr>
                <w:rFonts w:cstheme="minorHAnsi"/>
              </w:rPr>
            </w:pPr>
            <w:r w:rsidRPr="00E966F5">
              <w:rPr>
                <w:rFonts w:cstheme="minorHAnsi"/>
              </w:rPr>
              <w:t xml:space="preserve">Convene </w:t>
            </w:r>
            <w:r>
              <w:rPr>
                <w:rFonts w:cstheme="minorHAnsi"/>
              </w:rPr>
              <w:t xml:space="preserve">workgroup </w:t>
            </w:r>
            <w:r w:rsidR="00D56E28">
              <w:rPr>
                <w:rFonts w:cstheme="minorHAnsi"/>
              </w:rPr>
              <w:t>to review charge and identify subgroups</w:t>
            </w:r>
          </w:p>
        </w:tc>
      </w:tr>
      <w:tr w:rsidR="00D56E28" w:rsidRPr="008935A6" w14:paraId="6C659E19" w14:textId="77777777" w:rsidTr="005B17A1">
        <w:trPr>
          <w:trHeight w:val="227"/>
        </w:trPr>
        <w:tc>
          <w:tcPr>
            <w:tcW w:w="2875" w:type="dxa"/>
          </w:tcPr>
          <w:p w14:paraId="50C46065" w14:textId="0F002E49" w:rsidR="00D56E28" w:rsidRPr="00E966F5" w:rsidRDefault="00D56E28" w:rsidP="00D56E28">
            <w:pPr>
              <w:rPr>
                <w:rFonts w:cstheme="minorHAnsi"/>
              </w:rPr>
            </w:pPr>
            <w:r>
              <w:rPr>
                <w:rFonts w:cstheme="minorHAnsi"/>
              </w:rPr>
              <w:t>February 2020</w:t>
            </w:r>
          </w:p>
        </w:tc>
        <w:tc>
          <w:tcPr>
            <w:tcW w:w="6021" w:type="dxa"/>
          </w:tcPr>
          <w:p w14:paraId="3473BA09" w14:textId="6F7090AD" w:rsidR="00D56E28" w:rsidRPr="00E966F5" w:rsidRDefault="00D56E28" w:rsidP="00D56E28">
            <w:pPr>
              <w:rPr>
                <w:rFonts w:cstheme="minorHAnsi"/>
              </w:rPr>
            </w:pPr>
            <w:r>
              <w:rPr>
                <w:rFonts w:cstheme="minorHAnsi"/>
              </w:rPr>
              <w:t>Update at CIA/CSA/CWE</w:t>
            </w:r>
          </w:p>
        </w:tc>
      </w:tr>
      <w:tr w:rsidR="00D56E28" w:rsidRPr="008935A6" w14:paraId="3450DF97" w14:textId="77777777" w:rsidTr="00D56E28">
        <w:trPr>
          <w:trHeight w:val="53"/>
        </w:trPr>
        <w:tc>
          <w:tcPr>
            <w:tcW w:w="2875" w:type="dxa"/>
          </w:tcPr>
          <w:p w14:paraId="1F788DF4" w14:textId="5B1A2D1E" w:rsidR="00D56E28" w:rsidRPr="00E966F5" w:rsidRDefault="00D56E28" w:rsidP="00D56E28">
            <w:pPr>
              <w:rPr>
                <w:rFonts w:cstheme="minorHAnsi"/>
              </w:rPr>
            </w:pPr>
            <w:r>
              <w:rPr>
                <w:rFonts w:cstheme="minorHAnsi"/>
              </w:rPr>
              <w:t>February-April 2020</w:t>
            </w:r>
          </w:p>
        </w:tc>
        <w:tc>
          <w:tcPr>
            <w:tcW w:w="6021" w:type="dxa"/>
          </w:tcPr>
          <w:p w14:paraId="116F08BD" w14:textId="4C6B2064" w:rsidR="00D56E28" w:rsidRPr="00E966F5" w:rsidRDefault="00D56E28" w:rsidP="00D56E28">
            <w:pPr>
              <w:rPr>
                <w:rFonts w:cstheme="minorHAnsi"/>
              </w:rPr>
            </w:pPr>
            <w:r>
              <w:rPr>
                <w:rFonts w:cstheme="minorHAnsi"/>
              </w:rPr>
              <w:t>Subgroups convene to develop recommendations</w:t>
            </w:r>
          </w:p>
        </w:tc>
      </w:tr>
      <w:tr w:rsidR="00D56E28" w:rsidRPr="008935A6" w14:paraId="5E71AE05" w14:textId="77777777" w:rsidTr="005B17A1">
        <w:trPr>
          <w:trHeight w:val="284"/>
        </w:trPr>
        <w:tc>
          <w:tcPr>
            <w:tcW w:w="2875" w:type="dxa"/>
          </w:tcPr>
          <w:p w14:paraId="36C5C2F0" w14:textId="3370F1FC" w:rsidR="00D56E28" w:rsidRPr="00E966F5" w:rsidRDefault="00D56E28" w:rsidP="00D56E28">
            <w:pPr>
              <w:rPr>
                <w:rFonts w:cstheme="minorHAnsi"/>
              </w:rPr>
            </w:pPr>
            <w:r>
              <w:rPr>
                <w:rFonts w:cstheme="minorHAnsi"/>
              </w:rPr>
              <w:t>April 2020</w:t>
            </w:r>
          </w:p>
        </w:tc>
        <w:tc>
          <w:tcPr>
            <w:tcW w:w="6021" w:type="dxa"/>
          </w:tcPr>
          <w:p w14:paraId="226927BF" w14:textId="42481FE6" w:rsidR="00D56E28" w:rsidRPr="00E966F5" w:rsidRDefault="00D56E28" w:rsidP="00D56E28">
            <w:pPr>
              <w:rPr>
                <w:rFonts w:cstheme="minorHAnsi"/>
              </w:rPr>
            </w:pPr>
            <w:r>
              <w:rPr>
                <w:rFonts w:cstheme="minorHAnsi"/>
              </w:rPr>
              <w:t>Subgroups present recommendations to larger workgroup</w:t>
            </w:r>
          </w:p>
        </w:tc>
      </w:tr>
      <w:tr w:rsidR="00D56E28" w:rsidRPr="008935A6" w14:paraId="7585C8F8" w14:textId="77777777" w:rsidTr="005B17A1">
        <w:trPr>
          <w:trHeight w:val="284"/>
        </w:trPr>
        <w:tc>
          <w:tcPr>
            <w:tcW w:w="2875" w:type="dxa"/>
          </w:tcPr>
          <w:p w14:paraId="7B68D08A" w14:textId="63FC997D" w:rsidR="00D56E28" w:rsidRPr="00E966F5" w:rsidRDefault="00D56E28" w:rsidP="00D56E28">
            <w:pPr>
              <w:rPr>
                <w:rFonts w:cstheme="minorHAnsi"/>
              </w:rPr>
            </w:pPr>
            <w:r>
              <w:rPr>
                <w:rFonts w:cstheme="minorHAnsi"/>
              </w:rPr>
              <w:t>May 2020</w:t>
            </w:r>
          </w:p>
        </w:tc>
        <w:tc>
          <w:tcPr>
            <w:tcW w:w="6021" w:type="dxa"/>
          </w:tcPr>
          <w:p w14:paraId="10C54710" w14:textId="7B9D6757" w:rsidR="00D56E28" w:rsidRPr="00E966F5" w:rsidRDefault="00D56E28" w:rsidP="00D56E28">
            <w:pPr>
              <w:rPr>
                <w:rFonts w:cstheme="minorHAnsi"/>
              </w:rPr>
            </w:pPr>
            <w:r>
              <w:rPr>
                <w:rFonts w:cstheme="minorHAnsi"/>
              </w:rPr>
              <w:t>Workgroup finalizes recommendations to DFC</w:t>
            </w:r>
          </w:p>
        </w:tc>
      </w:tr>
    </w:tbl>
    <w:p w14:paraId="184D89E2" w14:textId="113E5B1E" w:rsidR="00097467" w:rsidRDefault="00097467" w:rsidP="00557B96">
      <w:pPr>
        <w:autoSpaceDE w:val="0"/>
        <w:autoSpaceDN w:val="0"/>
        <w:adjustRightInd w:val="0"/>
        <w:spacing w:after="0" w:line="276" w:lineRule="auto"/>
        <w:rPr>
          <w:color w:val="000000"/>
        </w:rPr>
      </w:pPr>
    </w:p>
    <w:p w14:paraId="492F3E6E" w14:textId="681E795F" w:rsidR="00097467" w:rsidRDefault="00097467" w:rsidP="00097467">
      <w:pPr>
        <w:autoSpaceDE w:val="0"/>
        <w:autoSpaceDN w:val="0"/>
        <w:adjustRightInd w:val="0"/>
        <w:spacing w:after="0" w:line="276" w:lineRule="auto"/>
        <w:ind w:left="720"/>
        <w:rPr>
          <w:color w:val="000000"/>
        </w:rPr>
      </w:pPr>
    </w:p>
    <w:p w14:paraId="74232293" w14:textId="77777777" w:rsidR="00097467" w:rsidRDefault="00097467" w:rsidP="00097467">
      <w:pPr>
        <w:autoSpaceDE w:val="0"/>
        <w:autoSpaceDN w:val="0"/>
        <w:adjustRightInd w:val="0"/>
        <w:spacing w:after="0" w:line="276" w:lineRule="auto"/>
        <w:ind w:left="720"/>
        <w:rPr>
          <w:color w:val="000000"/>
        </w:rPr>
      </w:pPr>
    </w:p>
    <w:p w14:paraId="4DE5EFCD" w14:textId="2A44F816" w:rsidR="00097467" w:rsidRPr="007B1EDD" w:rsidRDefault="00097467" w:rsidP="00097467">
      <w:pPr>
        <w:autoSpaceDE w:val="0"/>
        <w:autoSpaceDN w:val="0"/>
        <w:adjustRightInd w:val="0"/>
        <w:spacing w:after="0" w:line="276" w:lineRule="auto"/>
        <w:rPr>
          <w:rFonts w:cstheme="minorHAnsi"/>
          <w:bCs/>
          <w:color w:val="000000"/>
        </w:rPr>
      </w:pPr>
      <w:r w:rsidRPr="001B04D5">
        <w:rPr>
          <w:rFonts w:eastAsiaTheme="minorEastAsia" w:cstheme="minorHAnsi"/>
          <w:kern w:val="24"/>
        </w:rPr>
        <w:t>Revised 11/</w:t>
      </w:r>
      <w:r w:rsidR="00557B96">
        <w:rPr>
          <w:rFonts w:eastAsiaTheme="minorEastAsia" w:cstheme="minorHAnsi"/>
          <w:kern w:val="24"/>
        </w:rPr>
        <w:t>14</w:t>
      </w:r>
      <w:r w:rsidRPr="001B04D5">
        <w:rPr>
          <w:rFonts w:eastAsiaTheme="minorEastAsia" w:cstheme="minorHAnsi"/>
          <w:kern w:val="24"/>
        </w:rPr>
        <w:t>/2019</w:t>
      </w:r>
    </w:p>
    <w:p w14:paraId="3FDCDF04" w14:textId="77777777" w:rsidR="00801C43" w:rsidRPr="007B1EDD" w:rsidRDefault="00801C43">
      <w:pPr>
        <w:autoSpaceDE w:val="0"/>
        <w:autoSpaceDN w:val="0"/>
        <w:adjustRightInd w:val="0"/>
        <w:spacing w:after="0" w:line="276" w:lineRule="auto"/>
        <w:rPr>
          <w:rFonts w:cstheme="minorHAnsi"/>
          <w:bCs/>
          <w:color w:val="000000"/>
        </w:rPr>
      </w:pPr>
    </w:p>
    <w:sectPr w:rsidR="00801C43" w:rsidRPr="007B1EDD" w:rsidSect="00BE2C9B">
      <w:headerReference w:type="default" r:id="rId11"/>
      <w:footerReference w:type="default" r:id="rId12"/>
      <w:pgSz w:w="12240" w:h="15840"/>
      <w:pgMar w:top="1440" w:right="1170" w:bottom="900" w:left="1170" w:header="720" w:footer="27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B21AD8" w14:textId="77777777" w:rsidR="005E1884" w:rsidRDefault="005E1884" w:rsidP="002C0B30">
      <w:pPr>
        <w:spacing w:after="0" w:line="240" w:lineRule="auto"/>
      </w:pPr>
      <w:r>
        <w:separator/>
      </w:r>
    </w:p>
  </w:endnote>
  <w:endnote w:type="continuationSeparator" w:id="0">
    <w:p w14:paraId="04E9AA7E" w14:textId="77777777" w:rsidR="005E1884" w:rsidRDefault="005E1884" w:rsidP="002C0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7001089"/>
      <w:docPartObj>
        <w:docPartGallery w:val="Page Numbers (Bottom of Page)"/>
        <w:docPartUnique/>
      </w:docPartObj>
    </w:sdtPr>
    <w:sdtEndPr>
      <w:rPr>
        <w:rFonts w:ascii="Arial" w:hAnsi="Arial" w:cs="Arial"/>
      </w:rPr>
    </w:sdtEndPr>
    <w:sdtContent>
      <w:sdt>
        <w:sdtPr>
          <w:id w:val="-1517234510"/>
          <w:docPartObj>
            <w:docPartGallery w:val="Page Numbers (Top of Page)"/>
            <w:docPartUnique/>
          </w:docPartObj>
        </w:sdtPr>
        <w:sdtEndPr>
          <w:rPr>
            <w:rFonts w:ascii="Arial" w:hAnsi="Arial" w:cs="Arial"/>
          </w:rPr>
        </w:sdtEndPr>
        <w:sdtContent>
          <w:p w14:paraId="14E42817" w14:textId="77777777" w:rsidR="00001C5C" w:rsidRDefault="00001C5C">
            <w:pPr>
              <w:pStyle w:val="Footer"/>
              <w:jc w:val="center"/>
            </w:pPr>
          </w:p>
          <w:p w14:paraId="0FE2B70D" w14:textId="5E142B0E" w:rsidR="007833AE" w:rsidRPr="00785E12" w:rsidRDefault="007833AE">
            <w:pPr>
              <w:pStyle w:val="Footer"/>
              <w:jc w:val="center"/>
              <w:rPr>
                <w:rFonts w:ascii="Arial" w:hAnsi="Arial" w:cs="Arial"/>
              </w:rPr>
            </w:pPr>
            <w:r w:rsidRPr="00FA2F6B">
              <w:rPr>
                <w:rFonts w:cs="Arial"/>
              </w:rPr>
              <w:t xml:space="preserve">Page </w:t>
            </w:r>
            <w:r w:rsidRPr="00FA2F6B">
              <w:rPr>
                <w:rFonts w:cs="Arial"/>
                <w:b/>
                <w:bCs/>
                <w:sz w:val="24"/>
                <w:szCs w:val="24"/>
              </w:rPr>
              <w:fldChar w:fldCharType="begin"/>
            </w:r>
            <w:r w:rsidRPr="00FA2F6B">
              <w:rPr>
                <w:rFonts w:cs="Arial"/>
                <w:b/>
                <w:bCs/>
              </w:rPr>
              <w:instrText xml:space="preserve"> PAGE </w:instrText>
            </w:r>
            <w:r w:rsidRPr="00FA2F6B">
              <w:rPr>
                <w:rFonts w:cs="Arial"/>
                <w:b/>
                <w:bCs/>
                <w:sz w:val="24"/>
                <w:szCs w:val="24"/>
              </w:rPr>
              <w:fldChar w:fldCharType="separate"/>
            </w:r>
            <w:r w:rsidR="00003B82">
              <w:rPr>
                <w:rFonts w:cs="Arial"/>
                <w:b/>
                <w:bCs/>
                <w:noProof/>
              </w:rPr>
              <w:t>2</w:t>
            </w:r>
            <w:r w:rsidRPr="00FA2F6B">
              <w:rPr>
                <w:rFonts w:cs="Arial"/>
                <w:b/>
                <w:bCs/>
                <w:sz w:val="24"/>
                <w:szCs w:val="24"/>
              </w:rPr>
              <w:fldChar w:fldCharType="end"/>
            </w:r>
            <w:r w:rsidRPr="00FA2F6B">
              <w:rPr>
                <w:rFonts w:cs="Arial"/>
              </w:rPr>
              <w:t xml:space="preserve"> of </w:t>
            </w:r>
            <w:r w:rsidRPr="00FA2F6B">
              <w:rPr>
                <w:rFonts w:cs="Arial"/>
                <w:b/>
                <w:bCs/>
                <w:sz w:val="24"/>
                <w:szCs w:val="24"/>
              </w:rPr>
              <w:fldChar w:fldCharType="begin"/>
            </w:r>
            <w:r w:rsidRPr="00FA2F6B">
              <w:rPr>
                <w:rFonts w:cs="Arial"/>
                <w:b/>
                <w:bCs/>
              </w:rPr>
              <w:instrText xml:space="preserve"> NUMPAGES  </w:instrText>
            </w:r>
            <w:r w:rsidRPr="00FA2F6B">
              <w:rPr>
                <w:rFonts w:cs="Arial"/>
                <w:b/>
                <w:bCs/>
                <w:sz w:val="24"/>
                <w:szCs w:val="24"/>
              </w:rPr>
              <w:fldChar w:fldCharType="separate"/>
            </w:r>
            <w:r w:rsidR="00003B82">
              <w:rPr>
                <w:rFonts w:cs="Arial"/>
                <w:b/>
                <w:bCs/>
                <w:noProof/>
              </w:rPr>
              <w:t>2</w:t>
            </w:r>
            <w:r w:rsidRPr="00FA2F6B">
              <w:rPr>
                <w:rFonts w:cs="Arial"/>
                <w:b/>
                <w:bCs/>
                <w:sz w:val="24"/>
                <w:szCs w:val="24"/>
              </w:rPr>
              <w:fldChar w:fldCharType="end"/>
            </w:r>
          </w:p>
        </w:sdtContent>
      </w:sdt>
    </w:sdtContent>
  </w:sdt>
  <w:p w14:paraId="07952626" w14:textId="77777777" w:rsidR="004E2148" w:rsidRDefault="004E21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D0F8D7" w14:textId="77777777" w:rsidR="005E1884" w:rsidRDefault="005E1884" w:rsidP="002C0B30">
      <w:pPr>
        <w:spacing w:after="0" w:line="240" w:lineRule="auto"/>
      </w:pPr>
      <w:r>
        <w:separator/>
      </w:r>
    </w:p>
  </w:footnote>
  <w:footnote w:type="continuationSeparator" w:id="0">
    <w:p w14:paraId="00753ACB" w14:textId="77777777" w:rsidR="005E1884" w:rsidRDefault="005E1884" w:rsidP="002C0B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4494E" w14:textId="0834A1F1" w:rsidR="00001C5C" w:rsidRDefault="009D03A2" w:rsidP="00001C5C">
    <w:pPr>
      <w:pStyle w:val="Header"/>
    </w:pPr>
    <w:r>
      <w:rPr>
        <w:noProof/>
      </w:rPr>
      <w:drawing>
        <wp:anchor distT="0" distB="0" distL="114300" distR="114300" simplePos="0" relativeHeight="251661312" behindDoc="0" locked="0" layoutInCell="1" allowOverlap="1" wp14:anchorId="031ACEF0" wp14:editId="724E59C4">
          <wp:simplePos x="0" y="0"/>
          <wp:positionH relativeFrom="margin">
            <wp:posOffset>2293677</wp:posOffset>
          </wp:positionH>
          <wp:positionV relativeFrom="paragraph">
            <wp:posOffset>-25722</wp:posOffset>
          </wp:positionV>
          <wp:extent cx="1669690" cy="401367"/>
          <wp:effectExtent l="0" t="0" r="698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69690" cy="401367"/>
                  </a:xfrm>
                  <a:prstGeom prst="rect">
                    <a:avLst/>
                  </a:prstGeom>
                  <a:solidFill>
                    <a:schemeClr val="bg1"/>
                  </a:solidFill>
                  <a:ln>
                    <a:noFill/>
                  </a:ln>
                  <a:extLst/>
                </pic:spPr>
              </pic:pic>
            </a:graphicData>
          </a:graphic>
          <wp14:sizeRelH relativeFrom="margin">
            <wp14:pctWidth>0</wp14:pctWidth>
          </wp14:sizeRelH>
          <wp14:sizeRelV relativeFrom="margin">
            <wp14:pctHeight>0</wp14:pctHeight>
          </wp14:sizeRelV>
        </wp:anchor>
      </w:drawing>
    </w:r>
    <w:r w:rsidR="00001C5C">
      <w:rPr>
        <w:noProof/>
      </w:rPr>
      <mc:AlternateContent>
        <mc:Choice Requires="wps">
          <w:drawing>
            <wp:anchor distT="0" distB="0" distL="114300" distR="114300" simplePos="0" relativeHeight="251659264" behindDoc="0" locked="0" layoutInCell="1" allowOverlap="1" wp14:anchorId="18BC670E" wp14:editId="6413B7F4">
              <wp:simplePos x="0" y="0"/>
              <wp:positionH relativeFrom="margin">
                <wp:posOffset>2247900</wp:posOffset>
              </wp:positionH>
              <wp:positionV relativeFrom="paragraph">
                <wp:posOffset>-327025</wp:posOffset>
              </wp:positionV>
              <wp:extent cx="1760485" cy="922655"/>
              <wp:effectExtent l="0" t="0" r="0" b="0"/>
              <wp:wrapNone/>
              <wp:docPr id="1" name="Rectangle 1"/>
              <wp:cNvGraphicFramePr/>
              <a:graphic xmlns:a="http://schemas.openxmlformats.org/drawingml/2006/main">
                <a:graphicData uri="http://schemas.microsoft.com/office/word/2010/wordprocessingShape">
                  <wps:wsp>
                    <wps:cNvSpPr/>
                    <wps:spPr>
                      <a:xfrm>
                        <a:off x="0" y="0"/>
                        <a:ext cx="1760485" cy="92265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5ED0ED" id="Rectangle 1" o:spid="_x0000_s1026" style="position:absolute;margin-left:177pt;margin-top:-25.75pt;width:138.6pt;height:72.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" fillcolor="white [3212]" stroked="f" strokeweight="1pt">
              <w10:wrap anchorx="margin"/>
            </v:rect>
          </w:pict>
        </mc:Fallback>
      </mc:AlternateContent>
    </w:r>
    <w:r w:rsidR="00001C5C">
      <w:rPr>
        <w:noProof/>
      </w:rPr>
      <mc:AlternateContent>
        <mc:Choice Requires="wps">
          <w:drawing>
            <wp:anchor distT="0" distB="0" distL="114300" distR="114300" simplePos="0" relativeHeight="251658240" behindDoc="0" locked="0" layoutInCell="1" allowOverlap="1" wp14:anchorId="23960FE3" wp14:editId="5C07DE4E">
              <wp:simplePos x="0" y="0"/>
              <wp:positionH relativeFrom="page">
                <wp:posOffset>9525</wp:posOffset>
              </wp:positionH>
              <wp:positionV relativeFrom="paragraph">
                <wp:posOffset>133350</wp:posOffset>
              </wp:positionV>
              <wp:extent cx="7772400" cy="0"/>
              <wp:effectExtent l="0" t="19050" r="19050" b="19050"/>
              <wp:wrapNone/>
              <wp:docPr id="8" name="Straight Connector 8"/>
              <wp:cNvGraphicFramePr/>
              <a:graphic xmlns:a="http://schemas.openxmlformats.org/drawingml/2006/main">
                <a:graphicData uri="http://schemas.microsoft.com/office/word/2010/wordprocessingShape">
                  <wps:wsp>
                    <wps:cNvCnPr/>
                    <wps:spPr>
                      <a:xfrm>
                        <a:off x="0" y="0"/>
                        <a:ext cx="7772400" cy="0"/>
                      </a:xfrm>
                      <a:prstGeom prst="line">
                        <a:avLst/>
                      </a:prstGeom>
                      <a:ln w="38100">
                        <a:solidFill>
                          <a:srgbClr val="334B5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D35F88" id="Straight Connector 8"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75pt,10.5pt" to="612.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" strokecolor="#334b5e" strokeweight="3pt">
              <v:stroke joinstyle="miter"/>
              <w10:wrap anchorx="page"/>
            </v:line>
          </w:pict>
        </mc:Fallback>
      </mc:AlternateContent>
    </w:r>
  </w:p>
  <w:p w14:paraId="567CD7F4" w14:textId="77777777" w:rsidR="00456F7E" w:rsidRDefault="00456F7E" w:rsidP="00456F7E">
    <w:pPr>
      <w:pStyle w:val="Header"/>
      <w:ind w:firstLine="2160"/>
      <w:rPr>
        <w:rFonts w:cs="Arial"/>
        <w:b/>
      </w:rPr>
    </w:pPr>
  </w:p>
  <w:p w14:paraId="0E758257" w14:textId="77777777" w:rsidR="00001C5C" w:rsidRDefault="00001C5C" w:rsidP="00456F7E">
    <w:pPr>
      <w:pStyle w:val="Header"/>
      <w:ind w:firstLine="2160"/>
      <w:rPr>
        <w:rFonts w:ascii="Times New Roman" w:hAnsi="Times New Roman" w:cs="Times New Roman"/>
        <w:b/>
        <w:sz w:val="28"/>
      </w:rPr>
    </w:pPr>
  </w:p>
  <w:p w14:paraId="4D15EDCA" w14:textId="77777777" w:rsidR="00BC6BB2" w:rsidRPr="00BC6BB2" w:rsidRDefault="00BC6BB2" w:rsidP="00BC6BB2">
    <w:pPr>
      <w:spacing w:after="0" w:line="240" w:lineRule="auto"/>
      <w:jc w:val="center"/>
      <w:rPr>
        <w:rFonts w:cs="Arial"/>
        <w:b/>
        <w:sz w:val="4"/>
        <w:szCs w:val="4"/>
      </w:rPr>
    </w:pPr>
  </w:p>
  <w:p w14:paraId="6B0DC2EB" w14:textId="33895A38" w:rsidR="00BC6BB2" w:rsidRPr="00F519C9" w:rsidRDefault="00100A43" w:rsidP="00F519C9">
    <w:pPr>
      <w:spacing w:after="0" w:line="240" w:lineRule="auto"/>
      <w:jc w:val="center"/>
      <w:rPr>
        <w:rFonts w:cs="Arial"/>
        <w:b/>
        <w:sz w:val="24"/>
        <w:szCs w:val="24"/>
      </w:rPr>
    </w:pPr>
    <w:r>
      <w:rPr>
        <w:rFonts w:cs="Arial"/>
        <w:b/>
        <w:sz w:val="24"/>
        <w:szCs w:val="24"/>
      </w:rPr>
      <w:t xml:space="preserve">Florida College System </w:t>
    </w:r>
    <w:r w:rsidR="00B47D1D">
      <w:rPr>
        <w:rFonts w:cs="Arial"/>
        <w:b/>
        <w:sz w:val="24"/>
        <w:szCs w:val="24"/>
      </w:rPr>
      <w:t xml:space="preserve">Textbook </w:t>
    </w:r>
    <w:r w:rsidR="00053214">
      <w:rPr>
        <w:rFonts w:cs="Arial"/>
        <w:b/>
        <w:sz w:val="24"/>
        <w:szCs w:val="24"/>
      </w:rPr>
      <w:t>Affordability</w:t>
    </w:r>
    <w:r w:rsidR="00BC6BB2">
      <w:rPr>
        <w:rFonts w:cs="Arial"/>
        <w:b/>
        <w:sz w:val="24"/>
        <w:szCs w:val="24"/>
      </w:rPr>
      <w:t xml:space="preserve"> Workgroup Charter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0230B"/>
    <w:multiLevelType w:val="hybridMultilevel"/>
    <w:tmpl w:val="3FD8C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4618BD"/>
    <w:multiLevelType w:val="hybridMultilevel"/>
    <w:tmpl w:val="8312ED58"/>
    <w:lvl w:ilvl="0" w:tplc="CC300618">
      <w:start w:val="1"/>
      <w:numFmt w:val="bullet"/>
      <w:lvlText w:val="•"/>
      <w:lvlJc w:val="left"/>
      <w:pPr>
        <w:tabs>
          <w:tab w:val="num" w:pos="720"/>
        </w:tabs>
        <w:ind w:left="720" w:hanging="360"/>
      </w:pPr>
      <w:rPr>
        <w:rFonts w:ascii="Arial" w:hAnsi="Arial" w:hint="default"/>
      </w:rPr>
    </w:lvl>
    <w:lvl w:ilvl="1" w:tplc="1018A44E" w:tentative="1">
      <w:start w:val="1"/>
      <w:numFmt w:val="bullet"/>
      <w:lvlText w:val="•"/>
      <w:lvlJc w:val="left"/>
      <w:pPr>
        <w:tabs>
          <w:tab w:val="num" w:pos="1440"/>
        </w:tabs>
        <w:ind w:left="1440" w:hanging="360"/>
      </w:pPr>
      <w:rPr>
        <w:rFonts w:ascii="Arial" w:hAnsi="Arial" w:hint="default"/>
      </w:rPr>
    </w:lvl>
    <w:lvl w:ilvl="2" w:tplc="CD98BDEA" w:tentative="1">
      <w:start w:val="1"/>
      <w:numFmt w:val="bullet"/>
      <w:lvlText w:val="•"/>
      <w:lvlJc w:val="left"/>
      <w:pPr>
        <w:tabs>
          <w:tab w:val="num" w:pos="2160"/>
        </w:tabs>
        <w:ind w:left="2160" w:hanging="360"/>
      </w:pPr>
      <w:rPr>
        <w:rFonts w:ascii="Arial" w:hAnsi="Arial" w:hint="default"/>
      </w:rPr>
    </w:lvl>
    <w:lvl w:ilvl="3" w:tplc="483A4784" w:tentative="1">
      <w:start w:val="1"/>
      <w:numFmt w:val="bullet"/>
      <w:lvlText w:val="•"/>
      <w:lvlJc w:val="left"/>
      <w:pPr>
        <w:tabs>
          <w:tab w:val="num" w:pos="2880"/>
        </w:tabs>
        <w:ind w:left="2880" w:hanging="360"/>
      </w:pPr>
      <w:rPr>
        <w:rFonts w:ascii="Arial" w:hAnsi="Arial" w:hint="default"/>
      </w:rPr>
    </w:lvl>
    <w:lvl w:ilvl="4" w:tplc="1CFEA9B6" w:tentative="1">
      <w:start w:val="1"/>
      <w:numFmt w:val="bullet"/>
      <w:lvlText w:val="•"/>
      <w:lvlJc w:val="left"/>
      <w:pPr>
        <w:tabs>
          <w:tab w:val="num" w:pos="3600"/>
        </w:tabs>
        <w:ind w:left="3600" w:hanging="360"/>
      </w:pPr>
      <w:rPr>
        <w:rFonts w:ascii="Arial" w:hAnsi="Arial" w:hint="default"/>
      </w:rPr>
    </w:lvl>
    <w:lvl w:ilvl="5" w:tplc="42FAE55A" w:tentative="1">
      <w:start w:val="1"/>
      <w:numFmt w:val="bullet"/>
      <w:lvlText w:val="•"/>
      <w:lvlJc w:val="left"/>
      <w:pPr>
        <w:tabs>
          <w:tab w:val="num" w:pos="4320"/>
        </w:tabs>
        <w:ind w:left="4320" w:hanging="360"/>
      </w:pPr>
      <w:rPr>
        <w:rFonts w:ascii="Arial" w:hAnsi="Arial" w:hint="default"/>
      </w:rPr>
    </w:lvl>
    <w:lvl w:ilvl="6" w:tplc="5CEE8C90" w:tentative="1">
      <w:start w:val="1"/>
      <w:numFmt w:val="bullet"/>
      <w:lvlText w:val="•"/>
      <w:lvlJc w:val="left"/>
      <w:pPr>
        <w:tabs>
          <w:tab w:val="num" w:pos="5040"/>
        </w:tabs>
        <w:ind w:left="5040" w:hanging="360"/>
      </w:pPr>
      <w:rPr>
        <w:rFonts w:ascii="Arial" w:hAnsi="Arial" w:hint="default"/>
      </w:rPr>
    </w:lvl>
    <w:lvl w:ilvl="7" w:tplc="FC060E92" w:tentative="1">
      <w:start w:val="1"/>
      <w:numFmt w:val="bullet"/>
      <w:lvlText w:val="•"/>
      <w:lvlJc w:val="left"/>
      <w:pPr>
        <w:tabs>
          <w:tab w:val="num" w:pos="5760"/>
        </w:tabs>
        <w:ind w:left="5760" w:hanging="360"/>
      </w:pPr>
      <w:rPr>
        <w:rFonts w:ascii="Arial" w:hAnsi="Arial" w:hint="default"/>
      </w:rPr>
    </w:lvl>
    <w:lvl w:ilvl="8" w:tplc="51F81FE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2BF67C7"/>
    <w:multiLevelType w:val="hybridMultilevel"/>
    <w:tmpl w:val="25884D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4814816"/>
    <w:multiLevelType w:val="hybridMultilevel"/>
    <w:tmpl w:val="85F45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4932D6"/>
    <w:multiLevelType w:val="multilevel"/>
    <w:tmpl w:val="CDFAA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2D2FAC"/>
    <w:multiLevelType w:val="multilevel"/>
    <w:tmpl w:val="2AB4A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847B0A"/>
    <w:multiLevelType w:val="hybridMultilevel"/>
    <w:tmpl w:val="F3A0057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2D694699"/>
    <w:multiLevelType w:val="hybridMultilevel"/>
    <w:tmpl w:val="B7163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965A3C"/>
    <w:multiLevelType w:val="hybridMultilevel"/>
    <w:tmpl w:val="E55EE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ED62D9"/>
    <w:multiLevelType w:val="hybridMultilevel"/>
    <w:tmpl w:val="C414C75E"/>
    <w:lvl w:ilvl="0" w:tplc="DBA03DBA">
      <w:start w:val="1"/>
      <w:numFmt w:val="bullet"/>
      <w:lvlText w:val="•"/>
      <w:lvlJc w:val="left"/>
      <w:pPr>
        <w:tabs>
          <w:tab w:val="num" w:pos="720"/>
        </w:tabs>
        <w:ind w:left="720" w:hanging="360"/>
      </w:pPr>
      <w:rPr>
        <w:rFonts w:ascii="Arial" w:hAnsi="Arial" w:hint="default"/>
      </w:rPr>
    </w:lvl>
    <w:lvl w:ilvl="1" w:tplc="9D1EF192" w:tentative="1">
      <w:start w:val="1"/>
      <w:numFmt w:val="bullet"/>
      <w:lvlText w:val="•"/>
      <w:lvlJc w:val="left"/>
      <w:pPr>
        <w:tabs>
          <w:tab w:val="num" w:pos="1440"/>
        </w:tabs>
        <w:ind w:left="1440" w:hanging="360"/>
      </w:pPr>
      <w:rPr>
        <w:rFonts w:ascii="Arial" w:hAnsi="Arial" w:hint="default"/>
      </w:rPr>
    </w:lvl>
    <w:lvl w:ilvl="2" w:tplc="358A58C8" w:tentative="1">
      <w:start w:val="1"/>
      <w:numFmt w:val="bullet"/>
      <w:lvlText w:val="•"/>
      <w:lvlJc w:val="left"/>
      <w:pPr>
        <w:tabs>
          <w:tab w:val="num" w:pos="2160"/>
        </w:tabs>
        <w:ind w:left="2160" w:hanging="360"/>
      </w:pPr>
      <w:rPr>
        <w:rFonts w:ascii="Arial" w:hAnsi="Arial" w:hint="default"/>
      </w:rPr>
    </w:lvl>
    <w:lvl w:ilvl="3" w:tplc="5CD24304" w:tentative="1">
      <w:start w:val="1"/>
      <w:numFmt w:val="bullet"/>
      <w:lvlText w:val="•"/>
      <w:lvlJc w:val="left"/>
      <w:pPr>
        <w:tabs>
          <w:tab w:val="num" w:pos="2880"/>
        </w:tabs>
        <w:ind w:left="2880" w:hanging="360"/>
      </w:pPr>
      <w:rPr>
        <w:rFonts w:ascii="Arial" w:hAnsi="Arial" w:hint="default"/>
      </w:rPr>
    </w:lvl>
    <w:lvl w:ilvl="4" w:tplc="5B34701A" w:tentative="1">
      <w:start w:val="1"/>
      <w:numFmt w:val="bullet"/>
      <w:lvlText w:val="•"/>
      <w:lvlJc w:val="left"/>
      <w:pPr>
        <w:tabs>
          <w:tab w:val="num" w:pos="3600"/>
        </w:tabs>
        <w:ind w:left="3600" w:hanging="360"/>
      </w:pPr>
      <w:rPr>
        <w:rFonts w:ascii="Arial" w:hAnsi="Arial" w:hint="default"/>
      </w:rPr>
    </w:lvl>
    <w:lvl w:ilvl="5" w:tplc="F91068B6" w:tentative="1">
      <w:start w:val="1"/>
      <w:numFmt w:val="bullet"/>
      <w:lvlText w:val="•"/>
      <w:lvlJc w:val="left"/>
      <w:pPr>
        <w:tabs>
          <w:tab w:val="num" w:pos="4320"/>
        </w:tabs>
        <w:ind w:left="4320" w:hanging="360"/>
      </w:pPr>
      <w:rPr>
        <w:rFonts w:ascii="Arial" w:hAnsi="Arial" w:hint="default"/>
      </w:rPr>
    </w:lvl>
    <w:lvl w:ilvl="6" w:tplc="ACDCF88E" w:tentative="1">
      <w:start w:val="1"/>
      <w:numFmt w:val="bullet"/>
      <w:lvlText w:val="•"/>
      <w:lvlJc w:val="left"/>
      <w:pPr>
        <w:tabs>
          <w:tab w:val="num" w:pos="5040"/>
        </w:tabs>
        <w:ind w:left="5040" w:hanging="360"/>
      </w:pPr>
      <w:rPr>
        <w:rFonts w:ascii="Arial" w:hAnsi="Arial" w:hint="default"/>
      </w:rPr>
    </w:lvl>
    <w:lvl w:ilvl="7" w:tplc="24C274B4" w:tentative="1">
      <w:start w:val="1"/>
      <w:numFmt w:val="bullet"/>
      <w:lvlText w:val="•"/>
      <w:lvlJc w:val="left"/>
      <w:pPr>
        <w:tabs>
          <w:tab w:val="num" w:pos="5760"/>
        </w:tabs>
        <w:ind w:left="5760" w:hanging="360"/>
      </w:pPr>
      <w:rPr>
        <w:rFonts w:ascii="Arial" w:hAnsi="Arial" w:hint="default"/>
      </w:rPr>
    </w:lvl>
    <w:lvl w:ilvl="8" w:tplc="86C0E9F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CB072CC"/>
    <w:multiLevelType w:val="hybridMultilevel"/>
    <w:tmpl w:val="CE9A7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351B06"/>
    <w:multiLevelType w:val="multilevel"/>
    <w:tmpl w:val="C5E6A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A82886"/>
    <w:multiLevelType w:val="hybridMultilevel"/>
    <w:tmpl w:val="A2FE9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F73E07"/>
    <w:multiLevelType w:val="hybridMultilevel"/>
    <w:tmpl w:val="BD063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864EF6"/>
    <w:multiLevelType w:val="multilevel"/>
    <w:tmpl w:val="DB82B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F9287C"/>
    <w:multiLevelType w:val="hybridMultilevel"/>
    <w:tmpl w:val="83D89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6347AB"/>
    <w:multiLevelType w:val="multilevel"/>
    <w:tmpl w:val="80167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D29611E"/>
    <w:multiLevelType w:val="hybridMultilevel"/>
    <w:tmpl w:val="C8CAA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7B0137"/>
    <w:multiLevelType w:val="hybridMultilevel"/>
    <w:tmpl w:val="366A0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7D5807"/>
    <w:multiLevelType w:val="hybridMultilevel"/>
    <w:tmpl w:val="82D6D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2B6E09"/>
    <w:multiLevelType w:val="multilevel"/>
    <w:tmpl w:val="52784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C074565"/>
    <w:multiLevelType w:val="multilevel"/>
    <w:tmpl w:val="0FF0D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AB04AB"/>
    <w:multiLevelType w:val="hybridMultilevel"/>
    <w:tmpl w:val="66122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E322FE"/>
    <w:multiLevelType w:val="hybridMultilevel"/>
    <w:tmpl w:val="540841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49E0FCF"/>
    <w:multiLevelType w:val="hybridMultilevel"/>
    <w:tmpl w:val="566CF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266634"/>
    <w:multiLevelType w:val="hybridMultilevel"/>
    <w:tmpl w:val="69F44F86"/>
    <w:lvl w:ilvl="0" w:tplc="3904D0BC">
      <w:start w:val="1"/>
      <w:numFmt w:val="bullet"/>
      <w:lvlText w:val="•"/>
      <w:lvlJc w:val="left"/>
      <w:pPr>
        <w:tabs>
          <w:tab w:val="num" w:pos="720"/>
        </w:tabs>
        <w:ind w:left="720" w:hanging="360"/>
      </w:pPr>
      <w:rPr>
        <w:rFonts w:ascii="Arial" w:hAnsi="Arial" w:hint="default"/>
      </w:rPr>
    </w:lvl>
    <w:lvl w:ilvl="1" w:tplc="712E4AC2" w:tentative="1">
      <w:start w:val="1"/>
      <w:numFmt w:val="bullet"/>
      <w:lvlText w:val="•"/>
      <w:lvlJc w:val="left"/>
      <w:pPr>
        <w:tabs>
          <w:tab w:val="num" w:pos="1440"/>
        </w:tabs>
        <w:ind w:left="1440" w:hanging="360"/>
      </w:pPr>
      <w:rPr>
        <w:rFonts w:ascii="Arial" w:hAnsi="Arial" w:hint="default"/>
      </w:rPr>
    </w:lvl>
    <w:lvl w:ilvl="2" w:tplc="4752A808" w:tentative="1">
      <w:start w:val="1"/>
      <w:numFmt w:val="bullet"/>
      <w:lvlText w:val="•"/>
      <w:lvlJc w:val="left"/>
      <w:pPr>
        <w:tabs>
          <w:tab w:val="num" w:pos="2160"/>
        </w:tabs>
        <w:ind w:left="2160" w:hanging="360"/>
      </w:pPr>
      <w:rPr>
        <w:rFonts w:ascii="Arial" w:hAnsi="Arial" w:hint="default"/>
      </w:rPr>
    </w:lvl>
    <w:lvl w:ilvl="3" w:tplc="D7185350" w:tentative="1">
      <w:start w:val="1"/>
      <w:numFmt w:val="bullet"/>
      <w:lvlText w:val="•"/>
      <w:lvlJc w:val="left"/>
      <w:pPr>
        <w:tabs>
          <w:tab w:val="num" w:pos="2880"/>
        </w:tabs>
        <w:ind w:left="2880" w:hanging="360"/>
      </w:pPr>
      <w:rPr>
        <w:rFonts w:ascii="Arial" w:hAnsi="Arial" w:hint="default"/>
      </w:rPr>
    </w:lvl>
    <w:lvl w:ilvl="4" w:tplc="B3101F7C" w:tentative="1">
      <w:start w:val="1"/>
      <w:numFmt w:val="bullet"/>
      <w:lvlText w:val="•"/>
      <w:lvlJc w:val="left"/>
      <w:pPr>
        <w:tabs>
          <w:tab w:val="num" w:pos="3600"/>
        </w:tabs>
        <w:ind w:left="3600" w:hanging="360"/>
      </w:pPr>
      <w:rPr>
        <w:rFonts w:ascii="Arial" w:hAnsi="Arial" w:hint="default"/>
      </w:rPr>
    </w:lvl>
    <w:lvl w:ilvl="5" w:tplc="449A4C1C" w:tentative="1">
      <w:start w:val="1"/>
      <w:numFmt w:val="bullet"/>
      <w:lvlText w:val="•"/>
      <w:lvlJc w:val="left"/>
      <w:pPr>
        <w:tabs>
          <w:tab w:val="num" w:pos="4320"/>
        </w:tabs>
        <w:ind w:left="4320" w:hanging="360"/>
      </w:pPr>
      <w:rPr>
        <w:rFonts w:ascii="Arial" w:hAnsi="Arial" w:hint="default"/>
      </w:rPr>
    </w:lvl>
    <w:lvl w:ilvl="6" w:tplc="2472B558" w:tentative="1">
      <w:start w:val="1"/>
      <w:numFmt w:val="bullet"/>
      <w:lvlText w:val="•"/>
      <w:lvlJc w:val="left"/>
      <w:pPr>
        <w:tabs>
          <w:tab w:val="num" w:pos="5040"/>
        </w:tabs>
        <w:ind w:left="5040" w:hanging="360"/>
      </w:pPr>
      <w:rPr>
        <w:rFonts w:ascii="Arial" w:hAnsi="Arial" w:hint="default"/>
      </w:rPr>
    </w:lvl>
    <w:lvl w:ilvl="7" w:tplc="9CB2F30C" w:tentative="1">
      <w:start w:val="1"/>
      <w:numFmt w:val="bullet"/>
      <w:lvlText w:val="•"/>
      <w:lvlJc w:val="left"/>
      <w:pPr>
        <w:tabs>
          <w:tab w:val="num" w:pos="5760"/>
        </w:tabs>
        <w:ind w:left="5760" w:hanging="360"/>
      </w:pPr>
      <w:rPr>
        <w:rFonts w:ascii="Arial" w:hAnsi="Arial" w:hint="default"/>
      </w:rPr>
    </w:lvl>
    <w:lvl w:ilvl="8" w:tplc="97D2CA8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D6D20F0"/>
    <w:multiLevelType w:val="hybridMultilevel"/>
    <w:tmpl w:val="C2304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8B3E0C"/>
    <w:multiLevelType w:val="hybridMultilevel"/>
    <w:tmpl w:val="0A560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1"/>
  </w:num>
  <w:num w:numId="3">
    <w:abstractNumId w:val="6"/>
  </w:num>
  <w:num w:numId="4">
    <w:abstractNumId w:val="23"/>
  </w:num>
  <w:num w:numId="5">
    <w:abstractNumId w:val="0"/>
  </w:num>
  <w:num w:numId="6">
    <w:abstractNumId w:val="19"/>
  </w:num>
  <w:num w:numId="7">
    <w:abstractNumId w:val="13"/>
  </w:num>
  <w:num w:numId="8">
    <w:abstractNumId w:val="15"/>
  </w:num>
  <w:num w:numId="9">
    <w:abstractNumId w:val="9"/>
  </w:num>
  <w:num w:numId="10">
    <w:abstractNumId w:val="1"/>
  </w:num>
  <w:num w:numId="11">
    <w:abstractNumId w:val="25"/>
  </w:num>
  <w:num w:numId="12">
    <w:abstractNumId w:val="26"/>
  </w:num>
  <w:num w:numId="13">
    <w:abstractNumId w:val="24"/>
  </w:num>
  <w:num w:numId="14">
    <w:abstractNumId w:val="7"/>
  </w:num>
  <w:num w:numId="15">
    <w:abstractNumId w:val="3"/>
  </w:num>
  <w:num w:numId="16">
    <w:abstractNumId w:val="20"/>
  </w:num>
  <w:num w:numId="17">
    <w:abstractNumId w:val="22"/>
  </w:num>
  <w:num w:numId="18">
    <w:abstractNumId w:val="10"/>
  </w:num>
  <w:num w:numId="19">
    <w:abstractNumId w:val="8"/>
  </w:num>
  <w:num w:numId="20">
    <w:abstractNumId w:val="17"/>
  </w:num>
  <w:num w:numId="21">
    <w:abstractNumId w:val="18"/>
  </w:num>
  <w:num w:numId="22">
    <w:abstractNumId w:val="4"/>
  </w:num>
  <w:num w:numId="23">
    <w:abstractNumId w:val="16"/>
  </w:num>
  <w:num w:numId="24">
    <w:abstractNumId w:val="14"/>
  </w:num>
  <w:num w:numId="25">
    <w:abstractNumId w:val="12"/>
  </w:num>
  <w:num w:numId="26">
    <w:abstractNumId w:val="2"/>
  </w:num>
  <w:num w:numId="27">
    <w:abstractNumId w:val="27"/>
  </w:num>
  <w:num w:numId="28">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7QwNzY1MDA3MDM0MDZR0lEKTi0uzszPAykwqwUAwLcZySwAAAA="/>
  </w:docVars>
  <w:rsids>
    <w:rsidRoot w:val="002C0B30"/>
    <w:rsid w:val="00001C5C"/>
    <w:rsid w:val="00003B82"/>
    <w:rsid w:val="00006217"/>
    <w:rsid w:val="00011608"/>
    <w:rsid w:val="00011716"/>
    <w:rsid w:val="000212C3"/>
    <w:rsid w:val="00022A83"/>
    <w:rsid w:val="00027D28"/>
    <w:rsid w:val="00036EF5"/>
    <w:rsid w:val="00047617"/>
    <w:rsid w:val="00047E2A"/>
    <w:rsid w:val="0005115A"/>
    <w:rsid w:val="00053214"/>
    <w:rsid w:val="00056F43"/>
    <w:rsid w:val="00081D84"/>
    <w:rsid w:val="0009563F"/>
    <w:rsid w:val="00097467"/>
    <w:rsid w:val="000B376D"/>
    <w:rsid w:val="000B49F2"/>
    <w:rsid w:val="000C18A1"/>
    <w:rsid w:val="000C3539"/>
    <w:rsid w:val="000D2B8F"/>
    <w:rsid w:val="000E0D48"/>
    <w:rsid w:val="000E5DA8"/>
    <w:rsid w:val="00100A43"/>
    <w:rsid w:val="001022E2"/>
    <w:rsid w:val="00103530"/>
    <w:rsid w:val="0013759E"/>
    <w:rsid w:val="00163BF2"/>
    <w:rsid w:val="001B04D5"/>
    <w:rsid w:val="001B06EE"/>
    <w:rsid w:val="001D370B"/>
    <w:rsid w:val="00215D10"/>
    <w:rsid w:val="00223FAC"/>
    <w:rsid w:val="00241001"/>
    <w:rsid w:val="00255260"/>
    <w:rsid w:val="002641E6"/>
    <w:rsid w:val="0029300B"/>
    <w:rsid w:val="002A71DA"/>
    <w:rsid w:val="002B1943"/>
    <w:rsid w:val="002C0B30"/>
    <w:rsid w:val="002D6F11"/>
    <w:rsid w:val="00332BC7"/>
    <w:rsid w:val="003575B5"/>
    <w:rsid w:val="00365A2C"/>
    <w:rsid w:val="00375864"/>
    <w:rsid w:val="003812D3"/>
    <w:rsid w:val="00384323"/>
    <w:rsid w:val="003948C9"/>
    <w:rsid w:val="003A4227"/>
    <w:rsid w:val="003B5324"/>
    <w:rsid w:val="003E6104"/>
    <w:rsid w:val="003F54EB"/>
    <w:rsid w:val="004073CB"/>
    <w:rsid w:val="004113EA"/>
    <w:rsid w:val="00411F2A"/>
    <w:rsid w:val="004213D1"/>
    <w:rsid w:val="00421C12"/>
    <w:rsid w:val="004221E7"/>
    <w:rsid w:val="00447622"/>
    <w:rsid w:val="00456F7E"/>
    <w:rsid w:val="00467861"/>
    <w:rsid w:val="00476F1B"/>
    <w:rsid w:val="004A490D"/>
    <w:rsid w:val="004E2148"/>
    <w:rsid w:val="004F4970"/>
    <w:rsid w:val="00505B9D"/>
    <w:rsid w:val="0052286A"/>
    <w:rsid w:val="0054560A"/>
    <w:rsid w:val="00546AEE"/>
    <w:rsid w:val="00552585"/>
    <w:rsid w:val="00557B96"/>
    <w:rsid w:val="0059262B"/>
    <w:rsid w:val="005B17A1"/>
    <w:rsid w:val="005E1884"/>
    <w:rsid w:val="005E3AB8"/>
    <w:rsid w:val="005E562D"/>
    <w:rsid w:val="005E599E"/>
    <w:rsid w:val="005E7041"/>
    <w:rsid w:val="005E70AD"/>
    <w:rsid w:val="005F2EBA"/>
    <w:rsid w:val="0062503E"/>
    <w:rsid w:val="00634867"/>
    <w:rsid w:val="00644571"/>
    <w:rsid w:val="00646759"/>
    <w:rsid w:val="00646B2A"/>
    <w:rsid w:val="00647CC0"/>
    <w:rsid w:val="0065531C"/>
    <w:rsid w:val="00677FB7"/>
    <w:rsid w:val="00682450"/>
    <w:rsid w:val="006D540E"/>
    <w:rsid w:val="006F4EA5"/>
    <w:rsid w:val="006F6E9D"/>
    <w:rsid w:val="006F75BA"/>
    <w:rsid w:val="00711D7A"/>
    <w:rsid w:val="007211A2"/>
    <w:rsid w:val="00721FAD"/>
    <w:rsid w:val="00723ABB"/>
    <w:rsid w:val="00742AD0"/>
    <w:rsid w:val="007453AA"/>
    <w:rsid w:val="0078327C"/>
    <w:rsid w:val="007833AE"/>
    <w:rsid w:val="007850BD"/>
    <w:rsid w:val="007859E6"/>
    <w:rsid w:val="00785E12"/>
    <w:rsid w:val="007A0C91"/>
    <w:rsid w:val="007B1EDD"/>
    <w:rsid w:val="007C187A"/>
    <w:rsid w:val="007C690B"/>
    <w:rsid w:val="007D26EA"/>
    <w:rsid w:val="007E0B98"/>
    <w:rsid w:val="007E7D2B"/>
    <w:rsid w:val="007F061D"/>
    <w:rsid w:val="007F77C6"/>
    <w:rsid w:val="00801C43"/>
    <w:rsid w:val="00821728"/>
    <w:rsid w:val="00824C77"/>
    <w:rsid w:val="008300DA"/>
    <w:rsid w:val="00844BE2"/>
    <w:rsid w:val="0087432F"/>
    <w:rsid w:val="00877AFA"/>
    <w:rsid w:val="00886462"/>
    <w:rsid w:val="008935A6"/>
    <w:rsid w:val="008A6E8B"/>
    <w:rsid w:val="008B665F"/>
    <w:rsid w:val="008D540C"/>
    <w:rsid w:val="008E444E"/>
    <w:rsid w:val="009065ED"/>
    <w:rsid w:val="00911F56"/>
    <w:rsid w:val="00937AF4"/>
    <w:rsid w:val="00972410"/>
    <w:rsid w:val="009752BA"/>
    <w:rsid w:val="009A3D1B"/>
    <w:rsid w:val="009D03A2"/>
    <w:rsid w:val="009D6BBC"/>
    <w:rsid w:val="009E5247"/>
    <w:rsid w:val="009F1808"/>
    <w:rsid w:val="009F7E3F"/>
    <w:rsid w:val="00A064ED"/>
    <w:rsid w:val="00A11B00"/>
    <w:rsid w:val="00A24C8B"/>
    <w:rsid w:val="00A26D40"/>
    <w:rsid w:val="00A2730E"/>
    <w:rsid w:val="00A3603F"/>
    <w:rsid w:val="00A473AE"/>
    <w:rsid w:val="00A8147A"/>
    <w:rsid w:val="00AA3EAD"/>
    <w:rsid w:val="00AA406E"/>
    <w:rsid w:val="00AB4A39"/>
    <w:rsid w:val="00AB710A"/>
    <w:rsid w:val="00AD6429"/>
    <w:rsid w:val="00B16908"/>
    <w:rsid w:val="00B20F4B"/>
    <w:rsid w:val="00B47D1D"/>
    <w:rsid w:val="00B55768"/>
    <w:rsid w:val="00B5768A"/>
    <w:rsid w:val="00B6448B"/>
    <w:rsid w:val="00BC6BB2"/>
    <w:rsid w:val="00BE2C9B"/>
    <w:rsid w:val="00C010BC"/>
    <w:rsid w:val="00C21B98"/>
    <w:rsid w:val="00C47F02"/>
    <w:rsid w:val="00C7170E"/>
    <w:rsid w:val="00CA6A20"/>
    <w:rsid w:val="00CC5654"/>
    <w:rsid w:val="00CC7857"/>
    <w:rsid w:val="00CE71E0"/>
    <w:rsid w:val="00CF2AEF"/>
    <w:rsid w:val="00CF4DF3"/>
    <w:rsid w:val="00D00734"/>
    <w:rsid w:val="00D104BA"/>
    <w:rsid w:val="00D11E9E"/>
    <w:rsid w:val="00D2135C"/>
    <w:rsid w:val="00D56E28"/>
    <w:rsid w:val="00D61523"/>
    <w:rsid w:val="00D77934"/>
    <w:rsid w:val="00D85979"/>
    <w:rsid w:val="00D93FC3"/>
    <w:rsid w:val="00DA1EC1"/>
    <w:rsid w:val="00DA3572"/>
    <w:rsid w:val="00DA3AC0"/>
    <w:rsid w:val="00DA5ED2"/>
    <w:rsid w:val="00DB5E8C"/>
    <w:rsid w:val="00DD67DE"/>
    <w:rsid w:val="00DF0365"/>
    <w:rsid w:val="00E06579"/>
    <w:rsid w:val="00E178FA"/>
    <w:rsid w:val="00E20257"/>
    <w:rsid w:val="00E22AF8"/>
    <w:rsid w:val="00E32B83"/>
    <w:rsid w:val="00E65E20"/>
    <w:rsid w:val="00E7063A"/>
    <w:rsid w:val="00E73FC0"/>
    <w:rsid w:val="00E851C9"/>
    <w:rsid w:val="00E966F5"/>
    <w:rsid w:val="00EB5F7C"/>
    <w:rsid w:val="00EB6AC5"/>
    <w:rsid w:val="00EB7CE8"/>
    <w:rsid w:val="00EC5444"/>
    <w:rsid w:val="00EC61A2"/>
    <w:rsid w:val="00ED4499"/>
    <w:rsid w:val="00EE138E"/>
    <w:rsid w:val="00EE2D08"/>
    <w:rsid w:val="00EE6CBB"/>
    <w:rsid w:val="00EF6641"/>
    <w:rsid w:val="00EF7D80"/>
    <w:rsid w:val="00F12A53"/>
    <w:rsid w:val="00F16F18"/>
    <w:rsid w:val="00F17956"/>
    <w:rsid w:val="00F25416"/>
    <w:rsid w:val="00F34563"/>
    <w:rsid w:val="00F513B9"/>
    <w:rsid w:val="00F51539"/>
    <w:rsid w:val="00F519C9"/>
    <w:rsid w:val="00F52718"/>
    <w:rsid w:val="00F61684"/>
    <w:rsid w:val="00F70777"/>
    <w:rsid w:val="00F77318"/>
    <w:rsid w:val="00F867E9"/>
    <w:rsid w:val="00FA2F6B"/>
    <w:rsid w:val="00FA4F46"/>
    <w:rsid w:val="00FD34D1"/>
    <w:rsid w:val="00FE5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56ED84"/>
  <w15:docId w15:val="{71833A75-F5E1-4F08-AC6E-F373FE5C3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44E"/>
  </w:style>
  <w:style w:type="paragraph" w:styleId="Heading2">
    <w:name w:val="heading 2"/>
    <w:basedOn w:val="Normal"/>
    <w:next w:val="Normal"/>
    <w:link w:val="Heading2Char"/>
    <w:uiPriority w:val="9"/>
    <w:unhideWhenUsed/>
    <w:qFormat/>
    <w:rsid w:val="002C0B3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C0B3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C0B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B30"/>
  </w:style>
  <w:style w:type="paragraph" w:styleId="Footer">
    <w:name w:val="footer"/>
    <w:basedOn w:val="Normal"/>
    <w:link w:val="FooterChar"/>
    <w:uiPriority w:val="99"/>
    <w:unhideWhenUsed/>
    <w:rsid w:val="002C0B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B30"/>
  </w:style>
  <w:style w:type="character" w:customStyle="1" w:styleId="Heading2Char">
    <w:name w:val="Heading 2 Char"/>
    <w:basedOn w:val="DefaultParagraphFont"/>
    <w:link w:val="Heading2"/>
    <w:uiPriority w:val="9"/>
    <w:rsid w:val="002C0B30"/>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4113EA"/>
    <w:pPr>
      <w:ind w:left="720"/>
      <w:contextualSpacing/>
    </w:pPr>
  </w:style>
  <w:style w:type="character" w:styleId="CommentReference">
    <w:name w:val="annotation reference"/>
    <w:basedOn w:val="DefaultParagraphFont"/>
    <w:uiPriority w:val="99"/>
    <w:semiHidden/>
    <w:unhideWhenUsed/>
    <w:rsid w:val="003A4227"/>
    <w:rPr>
      <w:sz w:val="16"/>
      <w:szCs w:val="16"/>
    </w:rPr>
  </w:style>
  <w:style w:type="paragraph" w:styleId="CommentText">
    <w:name w:val="annotation text"/>
    <w:basedOn w:val="Normal"/>
    <w:link w:val="CommentTextChar"/>
    <w:uiPriority w:val="99"/>
    <w:semiHidden/>
    <w:unhideWhenUsed/>
    <w:rsid w:val="003A4227"/>
    <w:pPr>
      <w:spacing w:line="240" w:lineRule="auto"/>
    </w:pPr>
    <w:rPr>
      <w:sz w:val="20"/>
      <w:szCs w:val="20"/>
    </w:rPr>
  </w:style>
  <w:style w:type="character" w:customStyle="1" w:styleId="CommentTextChar">
    <w:name w:val="Comment Text Char"/>
    <w:basedOn w:val="DefaultParagraphFont"/>
    <w:link w:val="CommentText"/>
    <w:uiPriority w:val="99"/>
    <w:semiHidden/>
    <w:rsid w:val="003A4227"/>
    <w:rPr>
      <w:sz w:val="20"/>
      <w:szCs w:val="20"/>
    </w:rPr>
  </w:style>
  <w:style w:type="paragraph" w:styleId="CommentSubject">
    <w:name w:val="annotation subject"/>
    <w:basedOn w:val="CommentText"/>
    <w:next w:val="CommentText"/>
    <w:link w:val="CommentSubjectChar"/>
    <w:uiPriority w:val="99"/>
    <w:semiHidden/>
    <w:unhideWhenUsed/>
    <w:rsid w:val="003A4227"/>
    <w:rPr>
      <w:b/>
      <w:bCs/>
    </w:rPr>
  </w:style>
  <w:style w:type="character" w:customStyle="1" w:styleId="CommentSubjectChar">
    <w:name w:val="Comment Subject Char"/>
    <w:basedOn w:val="CommentTextChar"/>
    <w:link w:val="CommentSubject"/>
    <w:uiPriority w:val="99"/>
    <w:semiHidden/>
    <w:rsid w:val="003A4227"/>
    <w:rPr>
      <w:b/>
      <w:bCs/>
      <w:sz w:val="20"/>
      <w:szCs w:val="20"/>
    </w:rPr>
  </w:style>
  <w:style w:type="paragraph" w:styleId="BalloonText">
    <w:name w:val="Balloon Text"/>
    <w:basedOn w:val="Normal"/>
    <w:link w:val="BalloonTextChar"/>
    <w:uiPriority w:val="99"/>
    <w:semiHidden/>
    <w:unhideWhenUsed/>
    <w:rsid w:val="003A42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4227"/>
    <w:rPr>
      <w:rFonts w:ascii="Segoe UI" w:hAnsi="Segoe UI" w:cs="Segoe UI"/>
      <w:sz w:val="18"/>
      <w:szCs w:val="18"/>
    </w:rPr>
  </w:style>
  <w:style w:type="character" w:styleId="Hyperlink">
    <w:name w:val="Hyperlink"/>
    <w:basedOn w:val="DefaultParagraphFont"/>
    <w:uiPriority w:val="99"/>
    <w:unhideWhenUsed/>
    <w:rsid w:val="00BE2C9B"/>
    <w:rPr>
      <w:color w:val="0563C1" w:themeColor="hyperlink"/>
      <w:u w:val="single"/>
    </w:rPr>
  </w:style>
  <w:style w:type="table" w:styleId="TableGrid">
    <w:name w:val="Table Grid"/>
    <w:basedOn w:val="TableNormal"/>
    <w:uiPriority w:val="39"/>
    <w:rsid w:val="00972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758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75864"/>
  </w:style>
  <w:style w:type="character" w:customStyle="1" w:styleId="eop">
    <w:name w:val="eop"/>
    <w:basedOn w:val="DefaultParagraphFont"/>
    <w:rsid w:val="00375864"/>
  </w:style>
  <w:style w:type="table" w:customStyle="1" w:styleId="TableGrid1">
    <w:name w:val="Table Grid1"/>
    <w:basedOn w:val="TableNormal"/>
    <w:next w:val="TableGrid"/>
    <w:uiPriority w:val="59"/>
    <w:rsid w:val="00056F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3539"/>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7B1ED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471891">
      <w:bodyDiv w:val="1"/>
      <w:marLeft w:val="0"/>
      <w:marRight w:val="0"/>
      <w:marTop w:val="0"/>
      <w:marBottom w:val="0"/>
      <w:divBdr>
        <w:top w:val="none" w:sz="0" w:space="0" w:color="auto"/>
        <w:left w:val="none" w:sz="0" w:space="0" w:color="auto"/>
        <w:bottom w:val="none" w:sz="0" w:space="0" w:color="auto"/>
        <w:right w:val="none" w:sz="0" w:space="0" w:color="auto"/>
      </w:divBdr>
      <w:divsChild>
        <w:div w:id="1222323156">
          <w:marLeft w:val="274"/>
          <w:marRight w:val="0"/>
          <w:marTop w:val="0"/>
          <w:marBottom w:val="0"/>
          <w:divBdr>
            <w:top w:val="none" w:sz="0" w:space="0" w:color="auto"/>
            <w:left w:val="none" w:sz="0" w:space="0" w:color="auto"/>
            <w:bottom w:val="none" w:sz="0" w:space="0" w:color="auto"/>
            <w:right w:val="none" w:sz="0" w:space="0" w:color="auto"/>
          </w:divBdr>
        </w:div>
        <w:div w:id="1390760198">
          <w:marLeft w:val="274"/>
          <w:marRight w:val="0"/>
          <w:marTop w:val="0"/>
          <w:marBottom w:val="0"/>
          <w:divBdr>
            <w:top w:val="none" w:sz="0" w:space="0" w:color="auto"/>
            <w:left w:val="none" w:sz="0" w:space="0" w:color="auto"/>
            <w:bottom w:val="none" w:sz="0" w:space="0" w:color="auto"/>
            <w:right w:val="none" w:sz="0" w:space="0" w:color="auto"/>
          </w:divBdr>
        </w:div>
        <w:div w:id="1603801103">
          <w:marLeft w:val="274"/>
          <w:marRight w:val="0"/>
          <w:marTop w:val="0"/>
          <w:marBottom w:val="0"/>
          <w:divBdr>
            <w:top w:val="none" w:sz="0" w:space="0" w:color="auto"/>
            <w:left w:val="none" w:sz="0" w:space="0" w:color="auto"/>
            <w:bottom w:val="none" w:sz="0" w:space="0" w:color="auto"/>
            <w:right w:val="none" w:sz="0" w:space="0" w:color="auto"/>
          </w:divBdr>
        </w:div>
      </w:divsChild>
    </w:div>
    <w:div w:id="537355105">
      <w:bodyDiv w:val="1"/>
      <w:marLeft w:val="0"/>
      <w:marRight w:val="0"/>
      <w:marTop w:val="0"/>
      <w:marBottom w:val="0"/>
      <w:divBdr>
        <w:top w:val="none" w:sz="0" w:space="0" w:color="auto"/>
        <w:left w:val="none" w:sz="0" w:space="0" w:color="auto"/>
        <w:bottom w:val="none" w:sz="0" w:space="0" w:color="auto"/>
        <w:right w:val="none" w:sz="0" w:space="0" w:color="auto"/>
      </w:divBdr>
    </w:div>
    <w:div w:id="740980027">
      <w:bodyDiv w:val="1"/>
      <w:marLeft w:val="0"/>
      <w:marRight w:val="0"/>
      <w:marTop w:val="0"/>
      <w:marBottom w:val="0"/>
      <w:divBdr>
        <w:top w:val="none" w:sz="0" w:space="0" w:color="auto"/>
        <w:left w:val="none" w:sz="0" w:space="0" w:color="auto"/>
        <w:bottom w:val="none" w:sz="0" w:space="0" w:color="auto"/>
        <w:right w:val="none" w:sz="0" w:space="0" w:color="auto"/>
      </w:divBdr>
    </w:div>
    <w:div w:id="1772623509">
      <w:bodyDiv w:val="1"/>
      <w:marLeft w:val="0"/>
      <w:marRight w:val="0"/>
      <w:marTop w:val="0"/>
      <w:marBottom w:val="0"/>
      <w:divBdr>
        <w:top w:val="none" w:sz="0" w:space="0" w:color="auto"/>
        <w:left w:val="none" w:sz="0" w:space="0" w:color="auto"/>
        <w:bottom w:val="none" w:sz="0" w:space="0" w:color="auto"/>
        <w:right w:val="none" w:sz="0" w:space="0" w:color="auto"/>
      </w:divBdr>
      <w:divsChild>
        <w:div w:id="1499465339">
          <w:marLeft w:val="0"/>
          <w:marRight w:val="0"/>
          <w:marTop w:val="0"/>
          <w:marBottom w:val="0"/>
          <w:divBdr>
            <w:top w:val="none" w:sz="0" w:space="0" w:color="auto"/>
            <w:left w:val="none" w:sz="0" w:space="0" w:color="auto"/>
            <w:bottom w:val="none" w:sz="0" w:space="0" w:color="auto"/>
            <w:right w:val="none" w:sz="0" w:space="0" w:color="auto"/>
          </w:divBdr>
        </w:div>
        <w:div w:id="914582814">
          <w:marLeft w:val="0"/>
          <w:marRight w:val="0"/>
          <w:marTop w:val="0"/>
          <w:marBottom w:val="0"/>
          <w:divBdr>
            <w:top w:val="none" w:sz="0" w:space="0" w:color="auto"/>
            <w:left w:val="none" w:sz="0" w:space="0" w:color="auto"/>
            <w:bottom w:val="none" w:sz="0" w:space="0" w:color="auto"/>
            <w:right w:val="none" w:sz="0" w:space="0" w:color="auto"/>
          </w:divBdr>
        </w:div>
        <w:div w:id="946885883">
          <w:marLeft w:val="0"/>
          <w:marRight w:val="0"/>
          <w:marTop w:val="0"/>
          <w:marBottom w:val="0"/>
          <w:divBdr>
            <w:top w:val="none" w:sz="0" w:space="0" w:color="auto"/>
            <w:left w:val="none" w:sz="0" w:space="0" w:color="auto"/>
            <w:bottom w:val="none" w:sz="0" w:space="0" w:color="auto"/>
            <w:right w:val="none" w:sz="0" w:space="0" w:color="auto"/>
          </w:divBdr>
        </w:div>
        <w:div w:id="1222130428">
          <w:marLeft w:val="0"/>
          <w:marRight w:val="0"/>
          <w:marTop w:val="0"/>
          <w:marBottom w:val="0"/>
          <w:divBdr>
            <w:top w:val="none" w:sz="0" w:space="0" w:color="auto"/>
            <w:left w:val="none" w:sz="0" w:space="0" w:color="auto"/>
            <w:bottom w:val="none" w:sz="0" w:space="0" w:color="auto"/>
            <w:right w:val="none" w:sz="0" w:space="0" w:color="auto"/>
          </w:divBdr>
        </w:div>
        <w:div w:id="1618294375">
          <w:marLeft w:val="0"/>
          <w:marRight w:val="0"/>
          <w:marTop w:val="0"/>
          <w:marBottom w:val="0"/>
          <w:divBdr>
            <w:top w:val="none" w:sz="0" w:space="0" w:color="auto"/>
            <w:left w:val="none" w:sz="0" w:space="0" w:color="auto"/>
            <w:bottom w:val="none" w:sz="0" w:space="0" w:color="auto"/>
            <w:right w:val="none" w:sz="0" w:space="0" w:color="auto"/>
          </w:divBdr>
        </w:div>
        <w:div w:id="365448834">
          <w:marLeft w:val="0"/>
          <w:marRight w:val="0"/>
          <w:marTop w:val="0"/>
          <w:marBottom w:val="0"/>
          <w:divBdr>
            <w:top w:val="none" w:sz="0" w:space="0" w:color="auto"/>
            <w:left w:val="none" w:sz="0" w:space="0" w:color="auto"/>
            <w:bottom w:val="none" w:sz="0" w:space="0" w:color="auto"/>
            <w:right w:val="none" w:sz="0" w:space="0" w:color="auto"/>
          </w:divBdr>
        </w:div>
        <w:div w:id="1648391953">
          <w:marLeft w:val="0"/>
          <w:marRight w:val="0"/>
          <w:marTop w:val="0"/>
          <w:marBottom w:val="0"/>
          <w:divBdr>
            <w:top w:val="none" w:sz="0" w:space="0" w:color="auto"/>
            <w:left w:val="none" w:sz="0" w:space="0" w:color="auto"/>
            <w:bottom w:val="none" w:sz="0" w:space="0" w:color="auto"/>
            <w:right w:val="none" w:sz="0" w:space="0" w:color="auto"/>
          </w:divBdr>
        </w:div>
      </w:divsChild>
    </w:div>
    <w:div w:id="2141070521">
      <w:bodyDiv w:val="1"/>
      <w:marLeft w:val="0"/>
      <w:marRight w:val="0"/>
      <w:marTop w:val="0"/>
      <w:marBottom w:val="0"/>
      <w:divBdr>
        <w:top w:val="none" w:sz="0" w:space="0" w:color="auto"/>
        <w:left w:val="none" w:sz="0" w:space="0" w:color="auto"/>
        <w:bottom w:val="none" w:sz="0" w:space="0" w:color="auto"/>
        <w:right w:val="none" w:sz="0" w:space="0" w:color="auto"/>
      </w:divBdr>
      <w:divsChild>
        <w:div w:id="1427844724">
          <w:marLeft w:val="274"/>
          <w:marRight w:val="0"/>
          <w:marTop w:val="0"/>
          <w:marBottom w:val="0"/>
          <w:divBdr>
            <w:top w:val="none" w:sz="0" w:space="0" w:color="auto"/>
            <w:left w:val="none" w:sz="0" w:space="0" w:color="auto"/>
            <w:bottom w:val="none" w:sz="0" w:space="0" w:color="auto"/>
            <w:right w:val="none" w:sz="0" w:space="0" w:color="auto"/>
          </w:divBdr>
        </w:div>
        <w:div w:id="219369155">
          <w:marLeft w:val="274"/>
          <w:marRight w:val="0"/>
          <w:marTop w:val="0"/>
          <w:marBottom w:val="0"/>
          <w:divBdr>
            <w:top w:val="none" w:sz="0" w:space="0" w:color="auto"/>
            <w:left w:val="none" w:sz="0" w:space="0" w:color="auto"/>
            <w:bottom w:val="none" w:sz="0" w:space="0" w:color="auto"/>
            <w:right w:val="none" w:sz="0" w:space="0" w:color="auto"/>
          </w:divBdr>
        </w:div>
        <w:div w:id="1450122549">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state.fl.us/statutes/index.cfm?App_mode=Display_Statute&amp;URL=1000-1099/1004/Sections/1004.085.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flrules.org/gateway/readFile.asp?sid=0&amp;tid=19479654&amp;type=1&amp;file=6A-14.092.doc" TargetMode="External"/><Relationship Id="rId4" Type="http://schemas.openxmlformats.org/officeDocument/2006/relationships/settings" Target="settings.xml"/><Relationship Id="rId9" Type="http://schemas.openxmlformats.org/officeDocument/2006/relationships/hyperlink" Target="http://www.fldoe.org/core/fileparse.php/7514/urlt/C-1819-004-FR.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89CEF-B653-4A0A-9BA8-D799F7573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584</Words>
  <Characters>3331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Henderson, Carrie</dc:creator>
  <cp:keywords/>
  <dc:description/>
  <cp:lastModifiedBy>Division of Florida Colleges</cp:lastModifiedBy>
  <cp:revision>3</cp:revision>
  <cp:lastPrinted>2018-05-22T12:46:00Z</cp:lastPrinted>
  <dcterms:created xsi:type="dcterms:W3CDTF">2019-11-14T18:00:00Z</dcterms:created>
  <dcterms:modified xsi:type="dcterms:W3CDTF">2019-11-15T17:20:00Z</dcterms:modified>
</cp:coreProperties>
</file>