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1"/>
        <w:tblW w:w="5349" w:type="pct"/>
        <w:tblLook w:val="04A0" w:firstRow="1" w:lastRow="0" w:firstColumn="1" w:lastColumn="0" w:noHBand="0" w:noVBand="1"/>
      </w:tblPr>
      <w:tblGrid>
        <w:gridCol w:w="3481"/>
        <w:gridCol w:w="4613"/>
        <w:gridCol w:w="5760"/>
      </w:tblGrid>
      <w:tr w:rsidR="00D26BA3" w:rsidRPr="00CB070C" w:rsidTr="00050BD2">
        <w:trPr>
          <w:tblHeader/>
        </w:trPr>
        <w:tc>
          <w:tcPr>
            <w:tcW w:w="5000" w:type="pct"/>
            <w:gridSpan w:val="3"/>
            <w:tcBorders>
              <w:bottom w:val="single" w:sz="4" w:space="0" w:color="E6D5BC"/>
            </w:tcBorders>
            <w:shd w:val="clear" w:color="auto" w:fill="002060"/>
          </w:tcPr>
          <w:p w:rsidR="008B76B8" w:rsidRDefault="008B76B8" w:rsidP="008B76B8">
            <w:pPr>
              <w:rPr>
                <w:rFonts w:ascii="Century Gothic" w:eastAsia="Times New Roman" w:hAnsi="Century Gothic" w:cs="Times New Roman"/>
                <w:bCs/>
              </w:rPr>
            </w:pPr>
          </w:p>
          <w:p w:rsidR="008B76B8" w:rsidRPr="00CB070C" w:rsidRDefault="008B76B8" w:rsidP="008B76B8">
            <w:pPr>
              <w:rPr>
                <w:rFonts w:eastAsia="Times New Roman" w:cs="Times New Roman"/>
                <w:b/>
                <w:bCs/>
              </w:rPr>
            </w:pPr>
            <w:r w:rsidRPr="00CB070C">
              <w:rPr>
                <w:rFonts w:eastAsia="Times New Roman" w:cs="Times New Roman"/>
                <w:b/>
                <w:bCs/>
              </w:rPr>
              <w:t>CLNA – STAKEHOLDER CONSULTATION TEMPLATE</w:t>
            </w:r>
            <w:bookmarkStart w:id="0" w:name="_GoBack"/>
            <w:bookmarkEnd w:id="0"/>
          </w:p>
          <w:p w:rsidR="00D26BA3" w:rsidRPr="00CB070C" w:rsidRDefault="00D26BA3" w:rsidP="00F5738E">
            <w:pPr>
              <w:spacing w:line="259" w:lineRule="auto"/>
              <w:rPr>
                <w:rFonts w:eastAsia="Calibri" w:cs="Times New Roman"/>
                <w:b/>
                <w:color w:val="FFFFFF"/>
                <w:spacing w:val="4"/>
                <w:sz w:val="24"/>
              </w:rPr>
            </w:pPr>
          </w:p>
        </w:tc>
      </w:tr>
      <w:tr w:rsidR="008B76B8" w:rsidRPr="00CB070C" w:rsidTr="007A1041">
        <w:tc>
          <w:tcPr>
            <w:tcW w:w="5000" w:type="pct"/>
            <w:gridSpan w:val="3"/>
            <w:tcBorders>
              <w:bottom w:val="single" w:sz="4" w:space="0" w:color="E6D5BC"/>
            </w:tcBorders>
            <w:shd w:val="clear" w:color="auto" w:fill="auto"/>
          </w:tcPr>
          <w:p w:rsidR="00906C74" w:rsidRPr="009A7CFA" w:rsidRDefault="00A21B28" w:rsidP="008B76B8">
            <w:pPr>
              <w:pStyle w:val="Default"/>
              <w:rPr>
                <w:rFonts w:asciiTheme="minorHAnsi" w:hAnsiTheme="minorHAnsi" w:cstheme="minorHAnsi"/>
                <w:sz w:val="22"/>
                <w:szCs w:val="22"/>
              </w:rPr>
            </w:pPr>
            <w:r w:rsidRPr="009A7CFA">
              <w:rPr>
                <w:rFonts w:asciiTheme="minorHAnsi" w:hAnsiTheme="minorHAnsi" w:cstheme="minorHAnsi"/>
                <w:sz w:val="22"/>
                <w:szCs w:val="22"/>
              </w:rPr>
              <w:t>This form will be utilized by the eligible recipient to minimally demonstrate</w:t>
            </w:r>
            <w:r w:rsidR="00C814F7">
              <w:rPr>
                <w:rFonts w:asciiTheme="minorHAnsi" w:hAnsiTheme="minorHAnsi" w:cstheme="minorHAnsi"/>
                <w:sz w:val="22"/>
                <w:szCs w:val="22"/>
              </w:rPr>
              <w:t xml:space="preserve"> in the RFA</w:t>
            </w:r>
            <w:r w:rsidRPr="009A7CFA">
              <w:rPr>
                <w:rFonts w:asciiTheme="minorHAnsi" w:hAnsiTheme="minorHAnsi" w:cstheme="minorHAnsi"/>
                <w:sz w:val="22"/>
                <w:szCs w:val="22"/>
              </w:rPr>
              <w:t xml:space="preserve"> how local stakeholders were consulted in conducting the CLNA as required in section 134.  This form is a simple table that can be expanded to provide </w:t>
            </w:r>
            <w:r w:rsidR="00906C74" w:rsidRPr="009A7CFA">
              <w:rPr>
                <w:rFonts w:asciiTheme="minorHAnsi" w:hAnsiTheme="minorHAnsi" w:cstheme="minorHAnsi"/>
                <w:sz w:val="22"/>
                <w:szCs w:val="22"/>
              </w:rPr>
              <w:t xml:space="preserve">the </w:t>
            </w:r>
            <w:r w:rsidRPr="009A7CFA">
              <w:rPr>
                <w:rFonts w:asciiTheme="minorHAnsi" w:hAnsiTheme="minorHAnsi" w:cstheme="minorHAnsi"/>
                <w:sz w:val="22"/>
                <w:szCs w:val="22"/>
              </w:rPr>
              <w:t xml:space="preserve">required narrative.  </w:t>
            </w:r>
          </w:p>
          <w:p w:rsidR="00906C74" w:rsidRPr="009A7CFA" w:rsidRDefault="00906C74" w:rsidP="008B76B8">
            <w:pPr>
              <w:pStyle w:val="Default"/>
              <w:rPr>
                <w:rFonts w:asciiTheme="minorHAnsi" w:hAnsiTheme="minorHAnsi" w:cstheme="minorHAnsi"/>
                <w:sz w:val="22"/>
                <w:szCs w:val="22"/>
              </w:rPr>
            </w:pPr>
          </w:p>
          <w:p w:rsidR="00A21B28" w:rsidRPr="009A7CFA" w:rsidRDefault="00906C74" w:rsidP="008B76B8">
            <w:pPr>
              <w:pStyle w:val="Default"/>
              <w:rPr>
                <w:rFonts w:asciiTheme="minorHAnsi" w:hAnsiTheme="minorHAnsi" w:cstheme="minorHAnsi"/>
                <w:sz w:val="22"/>
                <w:szCs w:val="22"/>
              </w:rPr>
            </w:pPr>
            <w:r w:rsidRPr="009A7CFA">
              <w:rPr>
                <w:rFonts w:asciiTheme="minorHAnsi" w:hAnsiTheme="minorHAnsi" w:cstheme="minorHAnsi"/>
                <w:sz w:val="22"/>
                <w:szCs w:val="22"/>
              </w:rPr>
              <w:t>This form serves as an RFA summary of the process and methods used to consult and identification of the stakeholders that were consulted.  Extensive documentary evidence such as meeting agendas, meeting minutes, transcripts, surveys, presentations, focus group materials, and</w:t>
            </w:r>
            <w:r w:rsidR="00C814F7">
              <w:rPr>
                <w:rFonts w:asciiTheme="minorHAnsi" w:hAnsiTheme="minorHAnsi" w:cstheme="minorHAnsi"/>
                <w:sz w:val="22"/>
                <w:szCs w:val="22"/>
              </w:rPr>
              <w:t xml:space="preserve"> any other form of consultation</w:t>
            </w:r>
            <w:r w:rsidRPr="009A7CFA">
              <w:rPr>
                <w:rFonts w:asciiTheme="minorHAnsi" w:hAnsiTheme="minorHAnsi" w:cstheme="minorHAnsi"/>
                <w:sz w:val="22"/>
                <w:szCs w:val="22"/>
              </w:rPr>
              <w:t xml:space="preserve"> should not be submitted with the application but must be maintained locally.  Extensive documentation may be requested as part of a local Perkins V monitoring and compliance review.     </w:t>
            </w:r>
          </w:p>
          <w:p w:rsidR="00A21B28" w:rsidRPr="009A7CFA" w:rsidRDefault="00A21B28" w:rsidP="008B76B8">
            <w:pPr>
              <w:pStyle w:val="Default"/>
              <w:rPr>
                <w:rFonts w:asciiTheme="minorHAnsi" w:hAnsiTheme="minorHAnsi" w:cstheme="minorHAnsi"/>
                <w:sz w:val="22"/>
                <w:szCs w:val="22"/>
              </w:rPr>
            </w:pPr>
          </w:p>
          <w:p w:rsidR="008B76B8" w:rsidRPr="009A7CFA" w:rsidRDefault="008B76B8" w:rsidP="008B76B8">
            <w:pPr>
              <w:pStyle w:val="Default"/>
              <w:rPr>
                <w:rFonts w:asciiTheme="minorHAnsi" w:hAnsiTheme="minorHAnsi" w:cstheme="minorHAnsi"/>
                <w:sz w:val="22"/>
                <w:szCs w:val="22"/>
              </w:rPr>
            </w:pPr>
            <w:r w:rsidRPr="009A7CFA">
              <w:rPr>
                <w:rFonts w:asciiTheme="minorHAnsi" w:hAnsiTheme="minorHAnsi" w:cstheme="minorHAnsi"/>
                <w:sz w:val="22"/>
                <w:szCs w:val="22"/>
              </w:rPr>
              <w:t>SEC. 134. [20 U.S.C. 2354] LOCAL APPLICATION FOR CAREER AND TECHNICAL EDUCATION PROGRAMS.</w:t>
            </w:r>
          </w:p>
          <w:p w:rsidR="008B76B8" w:rsidRPr="009A7CFA" w:rsidRDefault="008B76B8" w:rsidP="008B76B8">
            <w:pPr>
              <w:rPr>
                <w:rFonts w:cstheme="minorHAnsi"/>
              </w:rPr>
            </w:pPr>
            <w:r w:rsidRPr="009A7CFA">
              <w:rPr>
                <w:rFonts w:cstheme="minorHAnsi"/>
              </w:rPr>
              <w:t>(d) CONSULTATION.—In conducting the comprehensive needs assessment under subsection (c), and developing the local application described in subsection</w:t>
            </w:r>
            <w:r w:rsidR="00DE3AFF" w:rsidRPr="009A7CFA">
              <w:rPr>
                <w:rFonts w:cstheme="minorHAnsi"/>
              </w:rPr>
              <w:t xml:space="preserve"> </w:t>
            </w:r>
            <w:r w:rsidRPr="009A7CFA">
              <w:rPr>
                <w:rFonts w:cstheme="minorHAnsi"/>
              </w:rPr>
              <w:t>(b), an eligible recipient shall involve a diverse body of stakeh</w:t>
            </w:r>
            <w:r w:rsidR="00DE3AFF" w:rsidRPr="009A7CFA">
              <w:rPr>
                <w:rFonts w:cstheme="minorHAnsi"/>
              </w:rPr>
              <w:t>olders, including, at a minimum….</w:t>
            </w:r>
          </w:p>
          <w:p w:rsidR="008B76B8" w:rsidRDefault="008B76B8" w:rsidP="008B76B8">
            <w:pPr>
              <w:rPr>
                <w:rFonts w:ascii="Century Gothic" w:eastAsia="Times New Roman" w:hAnsi="Century Gothic" w:cs="Times New Roman"/>
                <w:bCs/>
              </w:rPr>
            </w:pPr>
          </w:p>
        </w:tc>
      </w:tr>
      <w:tr w:rsidR="00D26BA3" w:rsidRPr="00CB070C" w:rsidTr="007A1041">
        <w:tc>
          <w:tcPr>
            <w:tcW w:w="1256" w:type="pct"/>
            <w:tcBorders>
              <w:top w:val="single" w:sz="4" w:space="0" w:color="E6D5BC"/>
              <w:left w:val="single" w:sz="4" w:space="0" w:color="E6D5BC"/>
              <w:bottom w:val="single" w:sz="4" w:space="0" w:color="E6D5BC"/>
              <w:right w:val="single" w:sz="4" w:space="0" w:color="E6D5BC"/>
            </w:tcBorders>
            <w:vAlign w:val="center"/>
          </w:tcPr>
          <w:p w:rsidR="00D26BA3" w:rsidRPr="00CB070C" w:rsidRDefault="00D26BA3" w:rsidP="00F5738E">
            <w:pPr>
              <w:spacing w:line="259" w:lineRule="auto"/>
              <w:ind w:left="72"/>
              <w:jc w:val="center"/>
              <w:rPr>
                <w:rFonts w:eastAsia="Times New Roman" w:cs="Times New Roman"/>
                <w:b/>
                <w:szCs w:val="23"/>
              </w:rPr>
            </w:pPr>
            <w:r w:rsidRPr="00CB070C">
              <w:rPr>
                <w:rFonts w:eastAsia="Times New Roman" w:cs="Times New Roman"/>
                <w:b/>
                <w:szCs w:val="23"/>
              </w:rPr>
              <w:t>Stakeholder Category</w:t>
            </w:r>
          </w:p>
        </w:tc>
        <w:tc>
          <w:tcPr>
            <w:tcW w:w="1665" w:type="pct"/>
            <w:tcBorders>
              <w:top w:val="single" w:sz="4" w:space="0" w:color="E6D5BC"/>
              <w:left w:val="single" w:sz="4" w:space="0" w:color="E6D5BC"/>
              <w:bottom w:val="single" w:sz="4" w:space="0" w:color="E6D5BC"/>
              <w:right w:val="single" w:sz="4" w:space="0" w:color="E6D5BC"/>
            </w:tcBorders>
            <w:vAlign w:val="center"/>
          </w:tcPr>
          <w:p w:rsidR="00D26BA3" w:rsidRPr="00CB070C" w:rsidRDefault="008B76B8" w:rsidP="00F5738E">
            <w:pPr>
              <w:spacing w:line="259" w:lineRule="auto"/>
              <w:ind w:left="72"/>
              <w:jc w:val="center"/>
              <w:rPr>
                <w:rFonts w:eastAsia="Times New Roman" w:cs="Times New Roman"/>
                <w:b/>
                <w:szCs w:val="23"/>
              </w:rPr>
            </w:pPr>
            <w:r>
              <w:rPr>
                <w:rFonts w:eastAsia="Times New Roman" w:cs="Times New Roman"/>
                <w:b/>
                <w:szCs w:val="23"/>
              </w:rPr>
              <w:t>Stakeholders Consulted</w:t>
            </w:r>
            <w:r w:rsidR="00DE3AFF">
              <w:rPr>
                <w:rFonts w:eastAsia="Times New Roman" w:cs="Times New Roman"/>
                <w:b/>
                <w:szCs w:val="23"/>
              </w:rPr>
              <w:t xml:space="preserve"> by Category</w:t>
            </w:r>
          </w:p>
        </w:tc>
        <w:tc>
          <w:tcPr>
            <w:tcW w:w="2079" w:type="pct"/>
            <w:tcBorders>
              <w:top w:val="single" w:sz="4" w:space="0" w:color="E6D5BC"/>
              <w:left w:val="single" w:sz="4" w:space="0" w:color="E6D5BC"/>
              <w:bottom w:val="single" w:sz="4" w:space="0" w:color="E6D5BC"/>
              <w:right w:val="single" w:sz="4" w:space="0" w:color="E6D5BC"/>
            </w:tcBorders>
            <w:vAlign w:val="center"/>
          </w:tcPr>
          <w:p w:rsidR="009A7CFA" w:rsidRDefault="008B76B8" w:rsidP="000E6868">
            <w:pPr>
              <w:spacing w:line="259" w:lineRule="auto"/>
              <w:ind w:left="72"/>
              <w:jc w:val="center"/>
              <w:rPr>
                <w:rFonts w:eastAsia="Times New Roman" w:cs="Times New Roman"/>
                <w:b/>
                <w:szCs w:val="23"/>
              </w:rPr>
            </w:pPr>
            <w:r>
              <w:rPr>
                <w:rFonts w:eastAsia="Times New Roman" w:cs="Times New Roman"/>
                <w:b/>
                <w:szCs w:val="23"/>
              </w:rPr>
              <w:t xml:space="preserve">Process and </w:t>
            </w:r>
            <w:r w:rsidR="00CB070C">
              <w:rPr>
                <w:rFonts w:eastAsia="Times New Roman" w:cs="Times New Roman"/>
                <w:b/>
                <w:szCs w:val="23"/>
              </w:rPr>
              <w:t>Methods</w:t>
            </w:r>
          </w:p>
          <w:p w:rsidR="00A21B28" w:rsidRDefault="009A7CFA" w:rsidP="000E6868">
            <w:pPr>
              <w:spacing w:line="259" w:lineRule="auto"/>
              <w:ind w:left="72"/>
              <w:jc w:val="center"/>
              <w:rPr>
                <w:rFonts w:eastAsia="Times New Roman" w:cs="Times New Roman"/>
                <w:b/>
                <w:szCs w:val="23"/>
              </w:rPr>
            </w:pPr>
            <w:r>
              <w:rPr>
                <w:rFonts w:eastAsia="Times New Roman" w:cs="Times New Roman"/>
                <w:b/>
                <w:szCs w:val="23"/>
              </w:rPr>
              <w:t xml:space="preserve"> (meetings, surveys, focus groups, etc.)</w:t>
            </w:r>
            <w:r w:rsidR="00CB070C">
              <w:rPr>
                <w:rFonts w:eastAsia="Times New Roman" w:cs="Times New Roman"/>
                <w:b/>
                <w:szCs w:val="23"/>
              </w:rPr>
              <w:t xml:space="preserve"> of</w:t>
            </w:r>
          </w:p>
          <w:p w:rsidR="00A21B28" w:rsidRDefault="00A21B28" w:rsidP="000E6868">
            <w:pPr>
              <w:spacing w:line="259" w:lineRule="auto"/>
              <w:ind w:left="72"/>
              <w:jc w:val="center"/>
              <w:rPr>
                <w:rFonts w:eastAsia="Times New Roman" w:cs="Times New Roman"/>
                <w:b/>
                <w:szCs w:val="23"/>
              </w:rPr>
            </w:pPr>
            <w:r>
              <w:rPr>
                <w:rFonts w:eastAsia="Times New Roman" w:cs="Times New Roman"/>
                <w:b/>
                <w:szCs w:val="23"/>
              </w:rPr>
              <w:t xml:space="preserve">CLNA </w:t>
            </w:r>
            <w:r w:rsidR="00CB070C">
              <w:rPr>
                <w:rFonts w:eastAsia="Times New Roman" w:cs="Times New Roman"/>
                <w:b/>
                <w:szCs w:val="23"/>
              </w:rPr>
              <w:t xml:space="preserve">Consultation </w:t>
            </w:r>
            <w:r w:rsidR="00DE3AFF">
              <w:rPr>
                <w:rFonts w:eastAsia="Times New Roman" w:cs="Times New Roman"/>
                <w:b/>
                <w:szCs w:val="23"/>
              </w:rPr>
              <w:t>by Category</w:t>
            </w:r>
          </w:p>
          <w:p w:rsidR="00D26BA3" w:rsidRPr="00CB070C" w:rsidRDefault="00D26BA3" w:rsidP="000E6868">
            <w:pPr>
              <w:spacing w:line="259" w:lineRule="auto"/>
              <w:ind w:left="72"/>
              <w:jc w:val="center"/>
              <w:rPr>
                <w:rFonts w:eastAsia="Times New Roman" w:cs="Times New Roman"/>
                <w:b/>
                <w:szCs w:val="23"/>
              </w:rPr>
            </w:pPr>
          </w:p>
        </w:tc>
      </w:tr>
      <w:tr w:rsidR="00D26BA3" w:rsidRPr="00CB070C" w:rsidTr="007A1041">
        <w:trPr>
          <w:trHeight w:val="2708"/>
        </w:trPr>
        <w:tc>
          <w:tcPr>
            <w:tcW w:w="1256" w:type="pct"/>
            <w:tcBorders>
              <w:top w:val="single" w:sz="4" w:space="0" w:color="E6D5BC"/>
              <w:left w:val="single" w:sz="4" w:space="0" w:color="E6D5BC"/>
              <w:bottom w:val="single" w:sz="4" w:space="0" w:color="E6D5BC"/>
              <w:right w:val="single" w:sz="4" w:space="0" w:color="E6D5BC"/>
            </w:tcBorders>
          </w:tcPr>
          <w:p w:rsidR="00D26BA3" w:rsidRPr="00CB070C" w:rsidRDefault="00D26BA3" w:rsidP="00F5738E">
            <w:pPr>
              <w:spacing w:line="259" w:lineRule="auto"/>
              <w:rPr>
                <w:rFonts w:eastAsia="Times New Roman" w:cs="Times New Roman"/>
                <w:szCs w:val="23"/>
              </w:rPr>
            </w:pPr>
            <w:r w:rsidRPr="00CB070C">
              <w:rPr>
                <w:rFonts w:eastAsia="Times New Roman" w:cs="Times New Roman"/>
                <w:szCs w:val="23"/>
              </w:rPr>
              <w:t>(</w:t>
            </w:r>
            <w:r w:rsidRPr="009A7CFA">
              <w:rPr>
                <w:rFonts w:eastAsia="Times New Roman" w:cs="Times New Roman"/>
                <w:b/>
                <w:szCs w:val="23"/>
              </w:rPr>
              <w:t>1)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w:t>
            </w: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A21B28" w:rsidP="00F5738E">
            <w:pPr>
              <w:spacing w:line="259" w:lineRule="auto"/>
              <w:rPr>
                <w:rFonts w:eastAsia="Times New Roman" w:cs="Arial"/>
              </w:rPr>
            </w:pPr>
            <w:r>
              <w:rPr>
                <w:rFonts w:eastAsia="Times New Roman" w:cs="Arial"/>
              </w:rPr>
              <w:t>Identify in narrative form the individuals, organizations, associations and other groups consulted locally for this category of stakeholder</w:t>
            </w:r>
            <w:r w:rsidR="00C814F7">
              <w:rPr>
                <w:rFonts w:eastAsia="Times New Roman" w:cs="Arial"/>
              </w:rPr>
              <w:t>.</w:t>
            </w:r>
          </w:p>
        </w:tc>
        <w:tc>
          <w:tcPr>
            <w:tcW w:w="2079" w:type="pct"/>
            <w:tcBorders>
              <w:top w:val="single" w:sz="4" w:space="0" w:color="E6D5BC"/>
              <w:left w:val="single" w:sz="4" w:space="0" w:color="E6D5BC"/>
              <w:bottom w:val="single" w:sz="4" w:space="0" w:color="E6D5BC"/>
              <w:right w:val="single" w:sz="4" w:space="0" w:color="E6D5BC"/>
            </w:tcBorders>
          </w:tcPr>
          <w:p w:rsidR="008B76B8" w:rsidRDefault="00DE3AFF" w:rsidP="008B76B8">
            <w:r>
              <w:t>Provide the following n</w:t>
            </w:r>
            <w:r w:rsidR="008B76B8">
              <w:t>arrative Information</w:t>
            </w:r>
            <w:r>
              <w:t xml:space="preserve"> for the RFA:</w:t>
            </w:r>
          </w:p>
          <w:p w:rsidR="008B76B8" w:rsidRDefault="008B76B8" w:rsidP="008B76B8">
            <w:pPr>
              <w:pStyle w:val="ListParagraph"/>
              <w:numPr>
                <w:ilvl w:val="0"/>
                <w:numId w:val="1"/>
              </w:numPr>
            </w:pPr>
            <w:r>
              <w:t>Describe the process and methods</w:t>
            </w:r>
            <w:r w:rsidR="00DE3AFF">
              <w:t xml:space="preserve"> </w:t>
            </w:r>
            <w:r>
              <w:t>used for stakeholder</w:t>
            </w:r>
            <w:r w:rsidR="00DE3AFF">
              <w:t xml:space="preserve"> consultation</w:t>
            </w:r>
            <w:r w:rsidR="00906C74">
              <w:t xml:space="preserve"> for this category of stakeholder</w:t>
            </w:r>
            <w:r>
              <w:t>.</w:t>
            </w:r>
          </w:p>
          <w:p w:rsidR="00DE3AFF" w:rsidRDefault="00DE3AFF" w:rsidP="008B76B8">
            <w:pPr>
              <w:pStyle w:val="ListParagraph"/>
              <w:numPr>
                <w:ilvl w:val="0"/>
                <w:numId w:val="1"/>
              </w:numPr>
            </w:pPr>
            <w:r>
              <w:t>Provide a summary of meetings/convenings or public meetings held.</w:t>
            </w:r>
          </w:p>
          <w:p w:rsidR="00906C74" w:rsidRDefault="00906C74" w:rsidP="008B76B8">
            <w:pPr>
              <w:pStyle w:val="ListParagraph"/>
              <w:numPr>
                <w:ilvl w:val="0"/>
                <w:numId w:val="1"/>
              </w:numPr>
            </w:pPr>
            <w:r>
              <w:t xml:space="preserve">Describe which CLNA component(s) (identified in Section 134) this </w:t>
            </w:r>
            <w:r w:rsidR="000E6868">
              <w:t xml:space="preserve">category of </w:t>
            </w:r>
            <w:r>
              <w:t>stakeholder</w:t>
            </w:r>
            <w:r w:rsidR="000E6868">
              <w:t xml:space="preserve"> was consulted on.</w:t>
            </w:r>
          </w:p>
          <w:p w:rsidR="00D26BA3" w:rsidRPr="00CB070C" w:rsidRDefault="00D26BA3" w:rsidP="00F5738E">
            <w:pPr>
              <w:spacing w:line="259" w:lineRule="auto"/>
              <w:rPr>
                <w:rFonts w:eastAsia="Times New Roman" w:cs="Arial"/>
              </w:rPr>
            </w:pPr>
          </w:p>
        </w:tc>
      </w:tr>
      <w:tr w:rsidR="00D26BA3" w:rsidRPr="00CB070C" w:rsidTr="007A1041">
        <w:trPr>
          <w:trHeight w:val="3347"/>
        </w:trPr>
        <w:tc>
          <w:tcPr>
            <w:tcW w:w="1256" w:type="pct"/>
            <w:tcBorders>
              <w:top w:val="single" w:sz="4" w:space="0" w:color="E6D5BC"/>
              <w:left w:val="single" w:sz="4" w:space="0" w:color="E6D5BC"/>
              <w:bottom w:val="single" w:sz="4" w:space="0" w:color="E6D5BC"/>
              <w:right w:val="single" w:sz="4" w:space="0" w:color="E6D5BC"/>
            </w:tcBorders>
          </w:tcPr>
          <w:p w:rsidR="00D26BA3" w:rsidRPr="009A7CFA" w:rsidRDefault="00D26BA3" w:rsidP="00F5738E">
            <w:pPr>
              <w:spacing w:line="259" w:lineRule="auto"/>
              <w:rPr>
                <w:rFonts w:eastAsia="Times New Roman" w:cs="Times New Roman"/>
                <w:b/>
                <w:szCs w:val="23"/>
              </w:rPr>
            </w:pPr>
            <w:r w:rsidRPr="009A7CFA">
              <w:rPr>
                <w:rFonts w:eastAsia="Times New Roman" w:cs="Times New Roman"/>
                <w:b/>
                <w:szCs w:val="23"/>
              </w:rPr>
              <w:lastRenderedPageBreak/>
              <w:t>(2) representatives of career and technical education programs at postsecondary educational institutions, including faculty and administrators;</w:t>
            </w: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C814F7" w:rsidP="00F5738E">
            <w:pPr>
              <w:spacing w:line="259" w:lineRule="auto"/>
              <w:rPr>
                <w:rFonts w:eastAsia="Times New Roman" w:cs="Arial"/>
              </w:rPr>
            </w:pPr>
            <w:r>
              <w:rPr>
                <w:rFonts w:eastAsia="Times New Roman" w:cs="Arial"/>
              </w:rPr>
              <w:t>Identify in narrative form the individuals, organizations, associations and other groups consulted locally for this category of stakeholder.</w:t>
            </w:r>
          </w:p>
        </w:tc>
        <w:tc>
          <w:tcPr>
            <w:tcW w:w="2079" w:type="pct"/>
            <w:tcBorders>
              <w:top w:val="single" w:sz="4" w:space="0" w:color="E6D5BC"/>
              <w:left w:val="single" w:sz="4" w:space="0" w:color="E6D5BC"/>
              <w:bottom w:val="single" w:sz="4" w:space="0" w:color="E6D5BC"/>
              <w:right w:val="single" w:sz="4" w:space="0" w:color="E6D5BC"/>
            </w:tcBorders>
          </w:tcPr>
          <w:p w:rsidR="000E6868" w:rsidRDefault="000E6868" w:rsidP="000E6868">
            <w:r>
              <w:t>Provide the following narrative Information for the RFA:</w:t>
            </w:r>
          </w:p>
          <w:p w:rsidR="000E6868" w:rsidRDefault="000E6868" w:rsidP="000E6868">
            <w:pPr>
              <w:pStyle w:val="ListParagraph"/>
              <w:numPr>
                <w:ilvl w:val="0"/>
                <w:numId w:val="1"/>
              </w:numPr>
            </w:pPr>
            <w:r>
              <w:t>Describe the process and methods used for stakeholder consultation for this category of stakeholder.</w:t>
            </w:r>
          </w:p>
          <w:p w:rsidR="000E6868" w:rsidRDefault="000E6868" w:rsidP="000E6868">
            <w:pPr>
              <w:pStyle w:val="ListParagraph"/>
              <w:numPr>
                <w:ilvl w:val="0"/>
                <w:numId w:val="1"/>
              </w:numPr>
            </w:pPr>
            <w:r>
              <w:t>Provide a summary of meetings/convenings or public meetings held.</w:t>
            </w:r>
          </w:p>
          <w:p w:rsidR="000E6868" w:rsidRDefault="000E6868" w:rsidP="000E6868">
            <w:pPr>
              <w:pStyle w:val="ListParagraph"/>
              <w:numPr>
                <w:ilvl w:val="0"/>
                <w:numId w:val="1"/>
              </w:numPr>
            </w:pPr>
            <w:r>
              <w:t>Describe which CLNA component(s) (identified in Section 134) this category of stakeholder was consulted on.</w:t>
            </w:r>
          </w:p>
          <w:p w:rsidR="00D26BA3" w:rsidRPr="00CB070C" w:rsidRDefault="00D26BA3" w:rsidP="00F5738E">
            <w:pPr>
              <w:spacing w:line="259" w:lineRule="auto"/>
              <w:rPr>
                <w:rFonts w:eastAsia="Times New Roman" w:cs="Arial"/>
              </w:rPr>
            </w:pPr>
          </w:p>
        </w:tc>
      </w:tr>
      <w:tr w:rsidR="00D26BA3" w:rsidRPr="00CB070C" w:rsidTr="007A1041">
        <w:trPr>
          <w:trHeight w:val="3743"/>
        </w:trPr>
        <w:tc>
          <w:tcPr>
            <w:tcW w:w="1256" w:type="pct"/>
            <w:tcBorders>
              <w:top w:val="single" w:sz="4" w:space="0" w:color="E6D5BC"/>
              <w:left w:val="single" w:sz="4" w:space="0" w:color="E6D5BC"/>
              <w:bottom w:val="single" w:sz="4" w:space="0" w:color="E6D5BC"/>
              <w:right w:val="single" w:sz="4" w:space="0" w:color="E6D5BC"/>
            </w:tcBorders>
          </w:tcPr>
          <w:p w:rsidR="00D26BA3" w:rsidRPr="009A7CFA" w:rsidRDefault="00D26BA3" w:rsidP="00F5738E">
            <w:pPr>
              <w:rPr>
                <w:rFonts w:eastAsia="Times New Roman" w:cs="Times New Roman"/>
                <w:b/>
                <w:bCs/>
                <w:szCs w:val="23"/>
              </w:rPr>
            </w:pPr>
            <w:r w:rsidRPr="009A7CFA">
              <w:rPr>
                <w:rFonts w:eastAsia="Times New Roman" w:cs="Times New Roman"/>
                <w:b/>
                <w:bCs/>
                <w:szCs w:val="23"/>
              </w:rPr>
              <w:t>(3) representatives of the State board or local workforce development boards and a range of local or regional businesses or industries;</w:t>
            </w: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C814F7" w:rsidP="00F5738E">
            <w:pPr>
              <w:rPr>
                <w:rFonts w:eastAsia="Times New Roman" w:cs="Arial"/>
              </w:rPr>
            </w:pPr>
            <w:r>
              <w:rPr>
                <w:rFonts w:eastAsia="Times New Roman" w:cs="Arial"/>
              </w:rPr>
              <w:t>Identify in narrative form the individuals, organizations, associations and other groups consulted locally for this category of stakeholder.</w:t>
            </w:r>
          </w:p>
        </w:tc>
        <w:tc>
          <w:tcPr>
            <w:tcW w:w="2079" w:type="pct"/>
            <w:tcBorders>
              <w:top w:val="single" w:sz="4" w:space="0" w:color="E6D5BC"/>
              <w:left w:val="single" w:sz="4" w:space="0" w:color="E6D5BC"/>
              <w:bottom w:val="single" w:sz="4" w:space="0" w:color="E6D5BC"/>
              <w:right w:val="single" w:sz="4" w:space="0" w:color="E6D5BC"/>
            </w:tcBorders>
          </w:tcPr>
          <w:p w:rsidR="000E6868" w:rsidRDefault="000E6868" w:rsidP="000E6868">
            <w:r>
              <w:t>Provide the following narrative Information for the RFA:</w:t>
            </w:r>
          </w:p>
          <w:p w:rsidR="000E6868" w:rsidRDefault="000E6868" w:rsidP="000E6868">
            <w:pPr>
              <w:pStyle w:val="ListParagraph"/>
              <w:numPr>
                <w:ilvl w:val="0"/>
                <w:numId w:val="1"/>
              </w:numPr>
            </w:pPr>
            <w:r>
              <w:t>Describe the process and methods used for stakeholder consultation for this category of stakeholder.</w:t>
            </w:r>
          </w:p>
          <w:p w:rsidR="000E6868" w:rsidRDefault="000E6868" w:rsidP="000E6868">
            <w:pPr>
              <w:pStyle w:val="ListParagraph"/>
              <w:numPr>
                <w:ilvl w:val="0"/>
                <w:numId w:val="1"/>
              </w:numPr>
            </w:pPr>
            <w:r>
              <w:t>Provide a summary of meetings/convenings or public meetings held.</w:t>
            </w:r>
          </w:p>
          <w:p w:rsidR="000E6868" w:rsidRDefault="000E6868" w:rsidP="000E6868">
            <w:pPr>
              <w:pStyle w:val="ListParagraph"/>
              <w:numPr>
                <w:ilvl w:val="0"/>
                <w:numId w:val="1"/>
              </w:numPr>
            </w:pPr>
            <w:r>
              <w:t>Describe which CLNA component(s) (identified in Section 134) this category of stakeholder was consulted on.</w:t>
            </w:r>
          </w:p>
          <w:p w:rsidR="00D26BA3" w:rsidRPr="00CB070C" w:rsidRDefault="00D26BA3" w:rsidP="00F5738E">
            <w:pPr>
              <w:rPr>
                <w:rFonts w:eastAsia="Times New Roman" w:cs="Arial"/>
              </w:rPr>
            </w:pPr>
          </w:p>
        </w:tc>
      </w:tr>
      <w:tr w:rsidR="00D26BA3" w:rsidRPr="00CB070C" w:rsidTr="007A1041">
        <w:trPr>
          <w:trHeight w:val="2015"/>
        </w:trPr>
        <w:tc>
          <w:tcPr>
            <w:tcW w:w="1256" w:type="pct"/>
            <w:tcBorders>
              <w:top w:val="single" w:sz="4" w:space="0" w:color="E6D5BC"/>
              <w:left w:val="single" w:sz="4" w:space="0" w:color="E6D5BC"/>
              <w:bottom w:val="single" w:sz="4" w:space="0" w:color="E6D5BC"/>
              <w:right w:val="single" w:sz="4" w:space="0" w:color="E6D5BC"/>
            </w:tcBorders>
          </w:tcPr>
          <w:p w:rsidR="00D26BA3" w:rsidRPr="009A7CFA" w:rsidRDefault="00D26BA3" w:rsidP="00F5738E">
            <w:pPr>
              <w:rPr>
                <w:rFonts w:eastAsia="Times New Roman" w:cs="Times New Roman"/>
                <w:b/>
                <w:bCs/>
                <w:szCs w:val="23"/>
              </w:rPr>
            </w:pPr>
            <w:r w:rsidRPr="009A7CFA">
              <w:rPr>
                <w:rFonts w:eastAsia="Times New Roman" w:cs="Times New Roman"/>
                <w:b/>
                <w:bCs/>
                <w:szCs w:val="23"/>
              </w:rPr>
              <w:lastRenderedPageBreak/>
              <w:t>(4) parents and students;</w:t>
            </w: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C814F7" w:rsidP="00F5738E">
            <w:pPr>
              <w:rPr>
                <w:rFonts w:eastAsia="Times New Roman" w:cs="Arial"/>
              </w:rPr>
            </w:pPr>
            <w:r>
              <w:rPr>
                <w:rFonts w:eastAsia="Times New Roman" w:cs="Arial"/>
              </w:rPr>
              <w:t>Identify in narrative form the individuals, organizations, associations and other groups consulted locally for this category of stakeholder.</w:t>
            </w:r>
          </w:p>
        </w:tc>
        <w:tc>
          <w:tcPr>
            <w:tcW w:w="2079" w:type="pct"/>
            <w:tcBorders>
              <w:top w:val="single" w:sz="4" w:space="0" w:color="E6D5BC"/>
              <w:left w:val="single" w:sz="4" w:space="0" w:color="E6D5BC"/>
              <w:bottom w:val="single" w:sz="4" w:space="0" w:color="E6D5BC"/>
              <w:right w:val="single" w:sz="4" w:space="0" w:color="E6D5BC"/>
            </w:tcBorders>
          </w:tcPr>
          <w:p w:rsidR="000E6868" w:rsidRDefault="000E6868" w:rsidP="000E6868">
            <w:r>
              <w:t>Provide the following narrative Information for the RFA:</w:t>
            </w:r>
          </w:p>
          <w:p w:rsidR="000E6868" w:rsidRDefault="000E6868" w:rsidP="000E6868">
            <w:pPr>
              <w:pStyle w:val="ListParagraph"/>
              <w:numPr>
                <w:ilvl w:val="0"/>
                <w:numId w:val="1"/>
              </w:numPr>
            </w:pPr>
            <w:r>
              <w:t>Describe the process and methods used for stakeholder consultation for this category of stakeholder.</w:t>
            </w:r>
          </w:p>
          <w:p w:rsidR="000E6868" w:rsidRDefault="000E6868" w:rsidP="000E6868">
            <w:pPr>
              <w:pStyle w:val="ListParagraph"/>
              <w:numPr>
                <w:ilvl w:val="0"/>
                <w:numId w:val="1"/>
              </w:numPr>
            </w:pPr>
            <w:r>
              <w:t>Provide a summary of meetings/convenings or public meetings held.</w:t>
            </w:r>
          </w:p>
          <w:p w:rsidR="000E6868" w:rsidRDefault="000E6868" w:rsidP="000E6868">
            <w:pPr>
              <w:pStyle w:val="ListParagraph"/>
              <w:numPr>
                <w:ilvl w:val="0"/>
                <w:numId w:val="1"/>
              </w:numPr>
            </w:pPr>
            <w:r>
              <w:t>Describe which CLNA component(s) (identified in Section 134) this category of stakeholder was consulted on.</w:t>
            </w:r>
          </w:p>
          <w:p w:rsidR="00D26BA3" w:rsidRPr="00CB070C" w:rsidRDefault="00D26BA3" w:rsidP="00F5738E">
            <w:pPr>
              <w:rPr>
                <w:rFonts w:eastAsia="Times New Roman" w:cs="Arial"/>
              </w:rPr>
            </w:pPr>
          </w:p>
        </w:tc>
      </w:tr>
      <w:tr w:rsidR="00D26BA3" w:rsidRPr="00CB070C" w:rsidTr="007A1041">
        <w:trPr>
          <w:trHeight w:val="1862"/>
        </w:trPr>
        <w:tc>
          <w:tcPr>
            <w:tcW w:w="1256" w:type="pct"/>
            <w:tcBorders>
              <w:top w:val="single" w:sz="4" w:space="0" w:color="E6D5BC"/>
              <w:left w:val="single" w:sz="4" w:space="0" w:color="E6D5BC"/>
              <w:bottom w:val="single" w:sz="4" w:space="0" w:color="E6D5BC"/>
              <w:right w:val="single" w:sz="4" w:space="0" w:color="E6D5BC"/>
            </w:tcBorders>
          </w:tcPr>
          <w:p w:rsidR="00D26BA3" w:rsidRPr="009A7CFA" w:rsidRDefault="00D26BA3" w:rsidP="00F5738E">
            <w:pPr>
              <w:rPr>
                <w:rFonts w:eastAsia="Times New Roman" w:cs="Times New Roman"/>
                <w:b/>
                <w:bCs/>
                <w:szCs w:val="23"/>
              </w:rPr>
            </w:pPr>
            <w:r w:rsidRPr="009A7CFA">
              <w:rPr>
                <w:rFonts w:eastAsia="Times New Roman" w:cs="Times New Roman"/>
                <w:b/>
                <w:bCs/>
                <w:szCs w:val="23"/>
              </w:rPr>
              <w:t>(5) representatives of special populations;</w:t>
            </w: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C814F7" w:rsidP="00F5738E">
            <w:pPr>
              <w:rPr>
                <w:rFonts w:eastAsia="Times New Roman" w:cs="Arial"/>
              </w:rPr>
            </w:pPr>
            <w:r>
              <w:rPr>
                <w:rFonts w:eastAsia="Times New Roman" w:cs="Arial"/>
              </w:rPr>
              <w:t>Identify in narrative form the individuals, organizations, associations and other groups consulted locally for this category of stakeholder.</w:t>
            </w:r>
          </w:p>
        </w:tc>
        <w:tc>
          <w:tcPr>
            <w:tcW w:w="2079" w:type="pct"/>
            <w:tcBorders>
              <w:top w:val="single" w:sz="4" w:space="0" w:color="E6D5BC"/>
              <w:left w:val="single" w:sz="4" w:space="0" w:color="E6D5BC"/>
              <w:bottom w:val="single" w:sz="4" w:space="0" w:color="E6D5BC"/>
              <w:right w:val="single" w:sz="4" w:space="0" w:color="E6D5BC"/>
            </w:tcBorders>
          </w:tcPr>
          <w:p w:rsidR="000E6868" w:rsidRDefault="000E6868" w:rsidP="000E6868">
            <w:r>
              <w:t>Provide the following narrative Information for the RFA:</w:t>
            </w:r>
          </w:p>
          <w:p w:rsidR="000E6868" w:rsidRDefault="000E6868" w:rsidP="000E6868">
            <w:pPr>
              <w:pStyle w:val="ListParagraph"/>
              <w:numPr>
                <w:ilvl w:val="0"/>
                <w:numId w:val="1"/>
              </w:numPr>
            </w:pPr>
            <w:r>
              <w:t>Describe the process and methods used for stakeholder consultation for this category of stakeholder.</w:t>
            </w:r>
          </w:p>
          <w:p w:rsidR="000E6868" w:rsidRDefault="000E6868" w:rsidP="000E6868">
            <w:pPr>
              <w:pStyle w:val="ListParagraph"/>
              <w:numPr>
                <w:ilvl w:val="0"/>
                <w:numId w:val="1"/>
              </w:numPr>
            </w:pPr>
            <w:r>
              <w:t>Provide a summary of meetings/convenings or public meetings held.</w:t>
            </w:r>
          </w:p>
          <w:p w:rsidR="000E6868" w:rsidRDefault="000E6868" w:rsidP="000E6868">
            <w:pPr>
              <w:pStyle w:val="ListParagraph"/>
              <w:numPr>
                <w:ilvl w:val="0"/>
                <w:numId w:val="1"/>
              </w:numPr>
            </w:pPr>
            <w:r>
              <w:t>Describe which CLNA component(s) (identified in Section 134) this category of stakeholder was consulted on.</w:t>
            </w:r>
          </w:p>
          <w:p w:rsidR="000E6868" w:rsidRDefault="000E6868" w:rsidP="000E6868"/>
          <w:p w:rsidR="000E6868" w:rsidRDefault="000E6868" w:rsidP="000E6868"/>
          <w:p w:rsidR="000E6868" w:rsidRDefault="000E6868" w:rsidP="000E6868"/>
          <w:p w:rsidR="000E6868" w:rsidRDefault="000E6868" w:rsidP="000E6868"/>
          <w:p w:rsidR="000E6868" w:rsidRDefault="000E6868" w:rsidP="000E6868"/>
          <w:p w:rsidR="00D26BA3" w:rsidRPr="00CB070C" w:rsidRDefault="00D26BA3" w:rsidP="00F5738E">
            <w:pPr>
              <w:rPr>
                <w:rFonts w:eastAsia="Times New Roman" w:cs="Arial"/>
              </w:rPr>
            </w:pPr>
          </w:p>
        </w:tc>
      </w:tr>
      <w:tr w:rsidR="00D26BA3" w:rsidRPr="00CB070C" w:rsidTr="007A1041">
        <w:trPr>
          <w:trHeight w:val="2321"/>
        </w:trPr>
        <w:tc>
          <w:tcPr>
            <w:tcW w:w="1256" w:type="pct"/>
            <w:tcBorders>
              <w:top w:val="single" w:sz="4" w:space="0" w:color="E6D5BC"/>
              <w:left w:val="single" w:sz="4" w:space="0" w:color="E6D5BC"/>
              <w:bottom w:val="single" w:sz="4" w:space="0" w:color="E6D5BC"/>
              <w:right w:val="single" w:sz="4" w:space="0" w:color="E6D5BC"/>
            </w:tcBorders>
          </w:tcPr>
          <w:p w:rsidR="00D26BA3" w:rsidRPr="009A7CFA" w:rsidRDefault="00D26BA3" w:rsidP="00F5738E">
            <w:pPr>
              <w:rPr>
                <w:rFonts w:eastAsia="Times New Roman" w:cs="Times New Roman"/>
                <w:b/>
                <w:bCs/>
                <w:szCs w:val="23"/>
              </w:rPr>
            </w:pPr>
            <w:r w:rsidRPr="009A7CFA">
              <w:rPr>
                <w:rFonts w:eastAsia="Times New Roman" w:cs="Times New Roman"/>
                <w:b/>
                <w:bCs/>
                <w:szCs w:val="23"/>
              </w:rPr>
              <w:t>(6) representatives of regional or local agencies serving out-of-school youth, homeless children and youth, and at-risk youth (as defined in section 1432 of the Elementary and Secondary Education Act of 1965)</w:t>
            </w: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Pr="00CB070C" w:rsidRDefault="00DE3AFF" w:rsidP="00F5738E">
            <w:pPr>
              <w:rPr>
                <w:rFonts w:eastAsia="Times New Roman" w:cs="Times New Roman"/>
                <w:bCs/>
                <w:szCs w:val="23"/>
              </w:rPr>
            </w:pP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C814F7" w:rsidP="00F5738E">
            <w:pPr>
              <w:rPr>
                <w:rFonts w:eastAsia="Times New Roman" w:cs="Arial"/>
              </w:rPr>
            </w:pPr>
            <w:r>
              <w:rPr>
                <w:rFonts w:eastAsia="Times New Roman" w:cs="Arial"/>
              </w:rPr>
              <w:lastRenderedPageBreak/>
              <w:t>Identify in narrative form the individuals, organizations, associations and other groups consulted locally for this category of stakeholder.</w:t>
            </w:r>
          </w:p>
        </w:tc>
        <w:tc>
          <w:tcPr>
            <w:tcW w:w="2079" w:type="pct"/>
            <w:tcBorders>
              <w:top w:val="single" w:sz="4" w:space="0" w:color="E6D5BC"/>
              <w:left w:val="single" w:sz="4" w:space="0" w:color="E6D5BC"/>
              <w:bottom w:val="single" w:sz="4" w:space="0" w:color="E6D5BC"/>
              <w:right w:val="single" w:sz="4" w:space="0" w:color="E6D5BC"/>
            </w:tcBorders>
          </w:tcPr>
          <w:p w:rsidR="000E6868" w:rsidRDefault="000E6868" w:rsidP="000E6868">
            <w:r>
              <w:t>Provide the following narrative Information for the RFA:</w:t>
            </w:r>
          </w:p>
          <w:p w:rsidR="000E6868" w:rsidRDefault="000E6868" w:rsidP="000E6868">
            <w:pPr>
              <w:pStyle w:val="ListParagraph"/>
              <w:numPr>
                <w:ilvl w:val="0"/>
                <w:numId w:val="1"/>
              </w:numPr>
            </w:pPr>
            <w:r>
              <w:t>Describe the process and methods used for stakeholder consultation for this category of stakeholder.</w:t>
            </w:r>
          </w:p>
          <w:p w:rsidR="000E6868" w:rsidRDefault="000E6868" w:rsidP="000E6868">
            <w:pPr>
              <w:pStyle w:val="ListParagraph"/>
              <w:numPr>
                <w:ilvl w:val="0"/>
                <w:numId w:val="1"/>
              </w:numPr>
            </w:pPr>
            <w:r>
              <w:t>Provide a summary of meetings/convenings or public meetings held.</w:t>
            </w:r>
          </w:p>
          <w:p w:rsidR="000E6868" w:rsidRDefault="000E6868" w:rsidP="000E6868">
            <w:pPr>
              <w:pStyle w:val="ListParagraph"/>
              <w:numPr>
                <w:ilvl w:val="0"/>
                <w:numId w:val="1"/>
              </w:numPr>
            </w:pPr>
            <w:r>
              <w:t>Describe which CLNA component(s) (identified in Section 134) this category of stakeholder was consulted on.</w:t>
            </w:r>
          </w:p>
          <w:p w:rsidR="00D26BA3" w:rsidRDefault="00D26BA3" w:rsidP="00F5738E">
            <w:pPr>
              <w:rPr>
                <w:rFonts w:eastAsia="Times New Roman" w:cs="Arial"/>
              </w:rPr>
            </w:pPr>
          </w:p>
          <w:p w:rsidR="000E6868" w:rsidRDefault="000E6868" w:rsidP="00F5738E">
            <w:pPr>
              <w:rPr>
                <w:rFonts w:eastAsia="Times New Roman" w:cs="Arial"/>
              </w:rPr>
            </w:pPr>
          </w:p>
          <w:p w:rsidR="000E6868" w:rsidRDefault="000E6868" w:rsidP="00F5738E">
            <w:pPr>
              <w:rPr>
                <w:rFonts w:eastAsia="Times New Roman" w:cs="Arial"/>
              </w:rPr>
            </w:pPr>
          </w:p>
          <w:p w:rsidR="000E6868" w:rsidRDefault="000E6868" w:rsidP="00F5738E">
            <w:pPr>
              <w:rPr>
                <w:rFonts w:eastAsia="Times New Roman" w:cs="Arial"/>
              </w:rPr>
            </w:pPr>
          </w:p>
          <w:p w:rsidR="000E6868" w:rsidRPr="00CB070C" w:rsidRDefault="000E6868" w:rsidP="00F5738E">
            <w:pPr>
              <w:rPr>
                <w:rFonts w:eastAsia="Times New Roman" w:cs="Arial"/>
              </w:rPr>
            </w:pPr>
          </w:p>
        </w:tc>
      </w:tr>
      <w:tr w:rsidR="00D26BA3" w:rsidRPr="00CB070C" w:rsidTr="007A1041">
        <w:trPr>
          <w:trHeight w:val="2312"/>
        </w:trPr>
        <w:tc>
          <w:tcPr>
            <w:tcW w:w="1256" w:type="pct"/>
            <w:tcBorders>
              <w:top w:val="single" w:sz="4" w:space="0" w:color="E6D5BC"/>
              <w:left w:val="single" w:sz="4" w:space="0" w:color="E6D5BC"/>
              <w:bottom w:val="single" w:sz="4" w:space="0" w:color="E6D5BC"/>
              <w:right w:val="single" w:sz="4" w:space="0" w:color="E6D5BC"/>
            </w:tcBorders>
          </w:tcPr>
          <w:p w:rsidR="00D26BA3" w:rsidRPr="009A7CFA" w:rsidRDefault="00D26BA3" w:rsidP="00F5738E">
            <w:pPr>
              <w:rPr>
                <w:rFonts w:eastAsia="Times New Roman" w:cs="Times New Roman"/>
                <w:b/>
                <w:bCs/>
                <w:szCs w:val="23"/>
              </w:rPr>
            </w:pPr>
            <w:r w:rsidRPr="009A7CFA">
              <w:rPr>
                <w:rFonts w:eastAsia="Times New Roman" w:cs="Times New Roman"/>
                <w:b/>
                <w:bCs/>
                <w:szCs w:val="23"/>
              </w:rPr>
              <w:lastRenderedPageBreak/>
              <w:t xml:space="preserve">(7) representatives of Indian Tribes and Tribal organizations in the State, </w:t>
            </w:r>
            <w:r w:rsidRPr="009A7CFA">
              <w:rPr>
                <w:rFonts w:eastAsia="Times New Roman" w:cs="Times New Roman"/>
                <w:b/>
                <w:bCs/>
                <w:szCs w:val="23"/>
                <w:u w:val="single"/>
              </w:rPr>
              <w:t>where applicable</w:t>
            </w:r>
            <w:r w:rsidRPr="009A7CFA">
              <w:rPr>
                <w:rFonts w:eastAsia="Times New Roman" w:cs="Times New Roman"/>
                <w:b/>
                <w:bCs/>
                <w:szCs w:val="23"/>
              </w:rPr>
              <w:t>; and</w:t>
            </w: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Pr="00CB070C" w:rsidRDefault="00DE3AFF" w:rsidP="00F5738E">
            <w:pPr>
              <w:rPr>
                <w:rFonts w:eastAsia="Times New Roman" w:cs="Times New Roman"/>
                <w:bCs/>
                <w:szCs w:val="23"/>
              </w:rPr>
            </w:pP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C814F7" w:rsidP="00F5738E">
            <w:pPr>
              <w:rPr>
                <w:rFonts w:eastAsia="Times New Roman" w:cs="Arial"/>
              </w:rPr>
            </w:pPr>
            <w:r>
              <w:rPr>
                <w:rFonts w:eastAsia="Times New Roman" w:cs="Arial"/>
              </w:rPr>
              <w:t>Identify in narrative form the individuals, organizations, associations and other groups consulted locally for this category of stakeholder (if applicable).</w:t>
            </w:r>
          </w:p>
        </w:tc>
        <w:tc>
          <w:tcPr>
            <w:tcW w:w="2079" w:type="pct"/>
            <w:tcBorders>
              <w:top w:val="single" w:sz="4" w:space="0" w:color="E6D5BC"/>
              <w:left w:val="single" w:sz="4" w:space="0" w:color="E6D5BC"/>
              <w:bottom w:val="single" w:sz="4" w:space="0" w:color="E6D5BC"/>
              <w:right w:val="single" w:sz="4" w:space="0" w:color="E6D5BC"/>
            </w:tcBorders>
          </w:tcPr>
          <w:p w:rsidR="000E6868" w:rsidRDefault="000E6868" w:rsidP="000E6868">
            <w:r>
              <w:t>Provide the following narrative Information for the RFA:</w:t>
            </w:r>
          </w:p>
          <w:p w:rsidR="000E6868" w:rsidRDefault="000E6868" w:rsidP="000E6868">
            <w:pPr>
              <w:pStyle w:val="ListParagraph"/>
              <w:numPr>
                <w:ilvl w:val="0"/>
                <w:numId w:val="1"/>
              </w:numPr>
            </w:pPr>
            <w:r>
              <w:t>Describe the process and methods used for stakeholder consultation for this category of stakeholder.</w:t>
            </w:r>
          </w:p>
          <w:p w:rsidR="000E6868" w:rsidRDefault="000E6868" w:rsidP="000E6868">
            <w:pPr>
              <w:pStyle w:val="ListParagraph"/>
              <w:numPr>
                <w:ilvl w:val="0"/>
                <w:numId w:val="1"/>
              </w:numPr>
            </w:pPr>
            <w:r>
              <w:t>Provide a summary of meetings/convenings or public meetings held.</w:t>
            </w:r>
          </w:p>
          <w:p w:rsidR="000E6868" w:rsidRDefault="000E6868" w:rsidP="000E6868">
            <w:pPr>
              <w:pStyle w:val="ListParagraph"/>
              <w:numPr>
                <w:ilvl w:val="0"/>
                <w:numId w:val="1"/>
              </w:numPr>
            </w:pPr>
            <w:r>
              <w:t>Describe which CLNA component(s) (identified in Section 134) this category of stakeholder was consulted on.</w:t>
            </w:r>
          </w:p>
          <w:p w:rsidR="000E6868" w:rsidRDefault="000E6868" w:rsidP="000E6868"/>
          <w:p w:rsidR="000E6868" w:rsidRDefault="000E6868" w:rsidP="000E6868"/>
          <w:p w:rsidR="000E6868" w:rsidRDefault="000E6868" w:rsidP="000E6868"/>
          <w:p w:rsidR="000E6868" w:rsidRDefault="000E6868" w:rsidP="000E6868"/>
          <w:p w:rsidR="000E6868" w:rsidRDefault="000E6868" w:rsidP="000E6868"/>
          <w:p w:rsidR="000E6868" w:rsidRDefault="000E6868" w:rsidP="000E6868"/>
          <w:p w:rsidR="009A7CFA" w:rsidRDefault="009A7CFA" w:rsidP="000E6868"/>
          <w:p w:rsidR="000E6868" w:rsidRDefault="000E6868" w:rsidP="000E6868"/>
          <w:p w:rsidR="000E6868" w:rsidRDefault="000E6868" w:rsidP="000E6868"/>
          <w:p w:rsidR="000E6868" w:rsidRDefault="000E6868" w:rsidP="000E6868"/>
          <w:p w:rsidR="00D26BA3" w:rsidRPr="00CB070C" w:rsidRDefault="00D26BA3" w:rsidP="00F5738E">
            <w:pPr>
              <w:rPr>
                <w:rFonts w:eastAsia="Times New Roman" w:cs="Arial"/>
              </w:rPr>
            </w:pPr>
          </w:p>
        </w:tc>
      </w:tr>
      <w:tr w:rsidR="00D26BA3" w:rsidRPr="00CB070C" w:rsidTr="007A1041">
        <w:trPr>
          <w:trHeight w:val="1331"/>
        </w:trPr>
        <w:tc>
          <w:tcPr>
            <w:tcW w:w="1256" w:type="pct"/>
            <w:tcBorders>
              <w:top w:val="single" w:sz="4" w:space="0" w:color="E6D5BC"/>
              <w:left w:val="single" w:sz="4" w:space="0" w:color="E6D5BC"/>
              <w:bottom w:val="single" w:sz="4" w:space="0" w:color="E6D5BC"/>
              <w:right w:val="single" w:sz="4" w:space="0" w:color="E6D5BC"/>
            </w:tcBorders>
          </w:tcPr>
          <w:p w:rsidR="00D26BA3" w:rsidRPr="009A7CFA" w:rsidRDefault="00D26BA3" w:rsidP="00F5738E">
            <w:pPr>
              <w:rPr>
                <w:rFonts w:eastAsia="Times New Roman" w:cs="Times New Roman"/>
                <w:b/>
                <w:bCs/>
                <w:szCs w:val="23"/>
              </w:rPr>
            </w:pPr>
            <w:r w:rsidRPr="009A7CFA">
              <w:rPr>
                <w:rFonts w:eastAsia="Times New Roman" w:cs="Times New Roman"/>
                <w:b/>
                <w:bCs/>
                <w:szCs w:val="23"/>
              </w:rPr>
              <w:lastRenderedPageBreak/>
              <w:t>(8) any other stakeholders that the eligible agency may require the eligible recipient to consult</w:t>
            </w:r>
            <w:r w:rsidR="00A21B28" w:rsidRPr="009A7CFA">
              <w:rPr>
                <w:rFonts w:eastAsia="Times New Roman" w:cs="Times New Roman"/>
                <w:b/>
                <w:bCs/>
                <w:szCs w:val="23"/>
              </w:rPr>
              <w:t>.  Provide response if applicable.</w:t>
            </w: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Default="00DE3AFF" w:rsidP="00F5738E">
            <w:pPr>
              <w:rPr>
                <w:rFonts w:eastAsia="Times New Roman" w:cs="Times New Roman"/>
                <w:bCs/>
                <w:szCs w:val="23"/>
              </w:rPr>
            </w:pPr>
          </w:p>
          <w:p w:rsidR="00DE3AFF" w:rsidRPr="00CB070C" w:rsidRDefault="00DE3AFF" w:rsidP="00F5738E">
            <w:pPr>
              <w:rPr>
                <w:rFonts w:eastAsia="Times New Roman" w:cs="Times New Roman"/>
                <w:bCs/>
                <w:szCs w:val="23"/>
              </w:rPr>
            </w:pPr>
          </w:p>
        </w:tc>
        <w:tc>
          <w:tcPr>
            <w:tcW w:w="1665" w:type="pct"/>
            <w:tcBorders>
              <w:top w:val="single" w:sz="4" w:space="0" w:color="E6D5BC"/>
              <w:left w:val="single" w:sz="4" w:space="0" w:color="E6D5BC"/>
              <w:bottom w:val="single" w:sz="4" w:space="0" w:color="E6D5BC"/>
              <w:right w:val="single" w:sz="4" w:space="0" w:color="E6D5BC"/>
            </w:tcBorders>
          </w:tcPr>
          <w:p w:rsidR="00D26BA3" w:rsidRPr="00CB070C" w:rsidRDefault="00C814F7" w:rsidP="00F5738E">
            <w:pPr>
              <w:rPr>
                <w:rFonts w:eastAsia="Times New Roman" w:cs="Arial"/>
              </w:rPr>
            </w:pPr>
            <w:r>
              <w:rPr>
                <w:rFonts w:eastAsia="Times New Roman" w:cs="Arial"/>
              </w:rPr>
              <w:t>Identify in narrative form the individuals, organizations, associations and other groups consulted locally for this category of stakeholder (if applicable).</w:t>
            </w:r>
          </w:p>
        </w:tc>
        <w:tc>
          <w:tcPr>
            <w:tcW w:w="2079" w:type="pct"/>
            <w:tcBorders>
              <w:top w:val="single" w:sz="4" w:space="0" w:color="E6D5BC"/>
              <w:left w:val="single" w:sz="4" w:space="0" w:color="E6D5BC"/>
              <w:bottom w:val="single" w:sz="4" w:space="0" w:color="E6D5BC"/>
              <w:right w:val="single" w:sz="4" w:space="0" w:color="E6D5BC"/>
            </w:tcBorders>
          </w:tcPr>
          <w:p w:rsidR="000E6868" w:rsidRDefault="000E6868" w:rsidP="000E6868">
            <w:r>
              <w:t>Provide the following narrative Information for the RFA:</w:t>
            </w:r>
          </w:p>
          <w:p w:rsidR="000E6868" w:rsidRDefault="000E6868" w:rsidP="000E6868">
            <w:pPr>
              <w:pStyle w:val="ListParagraph"/>
              <w:numPr>
                <w:ilvl w:val="0"/>
                <w:numId w:val="1"/>
              </w:numPr>
            </w:pPr>
            <w:r>
              <w:t>Describe the process and methods used for stakeholder consultation for this category of stakeholder.</w:t>
            </w:r>
          </w:p>
          <w:p w:rsidR="000E6868" w:rsidRDefault="000E6868" w:rsidP="000E6868">
            <w:pPr>
              <w:pStyle w:val="ListParagraph"/>
              <w:numPr>
                <w:ilvl w:val="0"/>
                <w:numId w:val="1"/>
              </w:numPr>
            </w:pPr>
            <w:r>
              <w:t>Provide a summary of meetings/convenings or public meetings held.</w:t>
            </w:r>
          </w:p>
          <w:p w:rsidR="000E6868" w:rsidRDefault="000E6868" w:rsidP="000E6868">
            <w:pPr>
              <w:pStyle w:val="ListParagraph"/>
              <w:numPr>
                <w:ilvl w:val="0"/>
                <w:numId w:val="1"/>
              </w:numPr>
            </w:pPr>
            <w:r>
              <w:t>Describe which CLNA component(s) (identified in Section 134) this category of stakeholder was consulted on.</w:t>
            </w:r>
          </w:p>
          <w:p w:rsidR="00D26BA3" w:rsidRDefault="00D26BA3" w:rsidP="00F5738E">
            <w:pPr>
              <w:rPr>
                <w:rFonts w:eastAsia="Times New Roman" w:cs="Arial"/>
              </w:rPr>
            </w:pPr>
          </w:p>
          <w:p w:rsidR="000E6868" w:rsidRDefault="000E6868" w:rsidP="00F5738E">
            <w:pPr>
              <w:rPr>
                <w:rFonts w:eastAsia="Times New Roman" w:cs="Arial"/>
              </w:rPr>
            </w:pPr>
          </w:p>
          <w:p w:rsidR="009A7CFA" w:rsidRDefault="009A7CFA" w:rsidP="00F5738E">
            <w:pPr>
              <w:rPr>
                <w:rFonts w:eastAsia="Times New Roman" w:cs="Arial"/>
              </w:rPr>
            </w:pPr>
          </w:p>
          <w:p w:rsidR="009A7CFA" w:rsidRDefault="009A7CFA" w:rsidP="00F5738E">
            <w:pPr>
              <w:rPr>
                <w:rFonts w:eastAsia="Times New Roman" w:cs="Arial"/>
              </w:rPr>
            </w:pPr>
          </w:p>
          <w:p w:rsidR="000E6868" w:rsidRDefault="000E6868" w:rsidP="00F5738E">
            <w:pPr>
              <w:rPr>
                <w:rFonts w:eastAsia="Times New Roman" w:cs="Arial"/>
              </w:rPr>
            </w:pPr>
          </w:p>
          <w:p w:rsidR="000E6868" w:rsidRDefault="000E6868" w:rsidP="00F5738E">
            <w:pPr>
              <w:rPr>
                <w:rFonts w:eastAsia="Times New Roman" w:cs="Arial"/>
              </w:rPr>
            </w:pPr>
          </w:p>
          <w:p w:rsidR="000E6868" w:rsidRDefault="000E6868" w:rsidP="00F5738E">
            <w:pPr>
              <w:rPr>
                <w:rFonts w:eastAsia="Times New Roman" w:cs="Arial"/>
              </w:rPr>
            </w:pPr>
          </w:p>
          <w:p w:rsidR="000E6868" w:rsidRPr="00CB070C" w:rsidRDefault="000E6868" w:rsidP="00F5738E">
            <w:pPr>
              <w:rPr>
                <w:rFonts w:eastAsia="Times New Roman" w:cs="Arial"/>
              </w:rPr>
            </w:pPr>
          </w:p>
        </w:tc>
      </w:tr>
    </w:tbl>
    <w:p w:rsidR="00D26BA3" w:rsidRPr="00CB070C" w:rsidRDefault="00D26BA3" w:rsidP="00D26BA3">
      <w:pPr>
        <w:spacing w:after="0"/>
        <w:rPr>
          <w:rFonts w:eastAsia="Times New Roman" w:cs="Times New Roman"/>
          <w:bCs/>
        </w:rPr>
      </w:pPr>
    </w:p>
    <w:p w:rsidR="001C3317" w:rsidRPr="00CB070C" w:rsidRDefault="001C3317"/>
    <w:sectPr w:rsidR="001C3317" w:rsidRPr="00CB070C" w:rsidSect="00CB070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72793"/>
    <w:multiLevelType w:val="hybridMultilevel"/>
    <w:tmpl w:val="62EEDDD4"/>
    <w:lvl w:ilvl="0" w:tplc="C2A827EA">
      <w:start w:val="1"/>
      <w:numFmt w:val="bullet"/>
      <w:lvlText w:val="­"/>
      <w:lvlJc w:val="left"/>
      <w:pPr>
        <w:ind w:left="360" w:hanging="360"/>
      </w:pPr>
      <w:rPr>
        <w:rFonts w:ascii="Arial Black" w:hAnsi="Arial Black" w:hint="default"/>
      </w:rPr>
    </w:lvl>
    <w:lvl w:ilvl="1" w:tplc="C2A827EA">
      <w:start w:val="1"/>
      <w:numFmt w:val="bullet"/>
      <w:lvlText w:val="­"/>
      <w:lvlJc w:val="left"/>
      <w:pPr>
        <w:ind w:left="1080" w:hanging="360"/>
      </w:pPr>
      <w:rPr>
        <w:rFonts w:ascii="Arial Black" w:hAnsi="Arial Black"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BA3"/>
    <w:rsid w:val="00050BD2"/>
    <w:rsid w:val="000E6868"/>
    <w:rsid w:val="001C3317"/>
    <w:rsid w:val="007A1041"/>
    <w:rsid w:val="008B76B8"/>
    <w:rsid w:val="00906C74"/>
    <w:rsid w:val="009A7CFA"/>
    <w:rsid w:val="00A21B28"/>
    <w:rsid w:val="00C814F7"/>
    <w:rsid w:val="00CB070C"/>
    <w:rsid w:val="00D26BA3"/>
    <w:rsid w:val="00DE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B62D8-F680-4536-B3F3-01807029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D26B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CB070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B7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Kathleen</dc:creator>
  <cp:keywords/>
  <dc:description/>
  <cp:lastModifiedBy>Goodman, Tara</cp:lastModifiedBy>
  <cp:revision>4</cp:revision>
  <dcterms:created xsi:type="dcterms:W3CDTF">2019-09-23T15:41:00Z</dcterms:created>
  <dcterms:modified xsi:type="dcterms:W3CDTF">2019-10-17T19:44:00Z</dcterms:modified>
</cp:coreProperties>
</file>